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9781" w:type="dxa"/>
        <w:tblBorders>
          <w:left w:val="none" w:sz="0" w:space="0" w:color="auto"/>
          <w:right w:val="none" w:sz="0" w:space="0" w:color="auto"/>
          <w:insideV w:val="none" w:sz="0" w:space="0" w:color="auto"/>
        </w:tblBorders>
        <w:tblLayout w:type="fixed"/>
        <w:tblLook w:val="04A0"/>
      </w:tblPr>
      <w:tblGrid>
        <w:gridCol w:w="2269"/>
        <w:gridCol w:w="4961"/>
        <w:gridCol w:w="2551"/>
      </w:tblGrid>
      <w:tr w:rsidR="0025298B" w:rsidRPr="00E12365" w:rsidTr="00C84FEB">
        <w:tc>
          <w:tcPr>
            <w:tcW w:w="2269" w:type="dxa"/>
          </w:tcPr>
          <w:p w:rsidR="0025298B" w:rsidRPr="00E12365" w:rsidRDefault="0025298B" w:rsidP="00C84FEB">
            <w:pPr>
              <w:spacing w:before="240" w:line="360" w:lineRule="auto"/>
            </w:pPr>
            <w:r w:rsidRPr="00E12365">
              <w:rPr>
                <w:noProof/>
                <w:lang w:val="pt-BR" w:eastAsia="pt-BR"/>
              </w:rPr>
              <w:drawing>
                <wp:inline distT="0" distB="0" distL="0" distR="0">
                  <wp:extent cx="1362075" cy="664012"/>
                  <wp:effectExtent l="0" t="0" r="0" b="0"/>
                  <wp:docPr id="6" name="Imagem 2" descr="C:\Users\Gustavo Almeida\AppData\Local\Microsoft\Windows\INetCache\Content.Word\logo-nppg-pe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tavo Almeida\AppData\Local\Microsoft\Windows\INetCache\Content.Word\logo-nppg-peq.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84092" cy="674745"/>
                          </a:xfrm>
                          <a:prstGeom prst="rect">
                            <a:avLst/>
                          </a:prstGeom>
                          <a:noFill/>
                          <a:ln>
                            <a:noFill/>
                          </a:ln>
                        </pic:spPr>
                      </pic:pic>
                    </a:graphicData>
                  </a:graphic>
                </wp:inline>
              </w:drawing>
            </w:r>
          </w:p>
        </w:tc>
        <w:tc>
          <w:tcPr>
            <w:tcW w:w="4961" w:type="dxa"/>
            <w:vAlign w:val="center"/>
          </w:tcPr>
          <w:p w:rsidR="0025298B" w:rsidRPr="00E12365" w:rsidRDefault="0025298B" w:rsidP="00C84FEB">
            <w:pPr>
              <w:spacing w:before="240" w:line="360" w:lineRule="auto"/>
              <w:jc w:val="center"/>
              <w:rPr>
                <w:b/>
                <w:sz w:val="28"/>
              </w:rPr>
            </w:pPr>
            <w:r w:rsidRPr="00E12365">
              <w:rPr>
                <w:b/>
                <w:sz w:val="28"/>
              </w:rPr>
              <w:t>Revista Gestão e Gerenciamento</w:t>
            </w:r>
          </w:p>
          <w:p w:rsidR="0025298B" w:rsidRPr="00E12365" w:rsidRDefault="0025298B" w:rsidP="00C84FEB">
            <w:pPr>
              <w:spacing w:before="240" w:line="360" w:lineRule="auto"/>
              <w:jc w:val="center"/>
              <w:rPr>
                <w:b/>
              </w:rPr>
            </w:pPr>
            <w:r w:rsidRPr="00E12365">
              <w:rPr>
                <w:b/>
              </w:rPr>
              <w:t>Site: www.nppg.org.br/gestaoegerenciamento</w:t>
            </w:r>
          </w:p>
        </w:tc>
        <w:tc>
          <w:tcPr>
            <w:tcW w:w="2551" w:type="dxa"/>
          </w:tcPr>
          <w:p w:rsidR="0025298B" w:rsidRPr="00E12365" w:rsidRDefault="0025298B" w:rsidP="00C84FEB">
            <w:pPr>
              <w:spacing w:before="240" w:line="360" w:lineRule="auto"/>
              <w:jc w:val="right"/>
            </w:pPr>
            <w:r w:rsidRPr="00E12365">
              <w:rPr>
                <w:noProof/>
                <w:lang w:val="pt-BR" w:eastAsia="pt-BR"/>
              </w:rPr>
              <w:drawing>
                <wp:inline distT="0" distB="0" distL="0" distR="0">
                  <wp:extent cx="1390650" cy="726110"/>
                  <wp:effectExtent l="0" t="0" r="0" b="0"/>
                  <wp:docPr id="7" name="Imagem 1" descr="http://localhost/gestaoegerenciamento/public/journals/1/homepageImage_pt_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calhost/gestaoegerenciamento/public/journals/1/homepageImage_pt_BR.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410" r="5993"/>
                          <a:stretch/>
                        </pic:blipFill>
                        <pic:spPr bwMode="auto">
                          <a:xfrm>
                            <a:off x="0" y="0"/>
                            <a:ext cx="1390650" cy="7261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bl>
    <w:p w:rsidR="00264DDB" w:rsidRPr="00E12365" w:rsidRDefault="00264DDB" w:rsidP="005E1538">
      <w:pPr>
        <w:rPr>
          <w:rFonts w:cstheme="minorHAnsi"/>
          <w:b/>
          <w:sz w:val="28"/>
          <w:szCs w:val="28"/>
        </w:rPr>
      </w:pPr>
    </w:p>
    <w:p w:rsidR="00571247" w:rsidRDefault="00571247" w:rsidP="00571247">
      <w:pPr>
        <w:pStyle w:val="Ttulodoartigo-SIBRAGEC"/>
        <w:spacing w:before="240"/>
      </w:pPr>
      <w:r>
        <w:t>RETROFIT LUMINOTÉCNICO E DAS INSTALAÇÕES ELÉTRICAS EM EDIFÍCIO HISTÓRICO ATRAVÉS DA TECNOLOGIA BIM</w:t>
      </w:r>
    </w:p>
    <w:p w:rsidR="00571247" w:rsidRPr="00571247" w:rsidRDefault="00571247" w:rsidP="00571247">
      <w:pPr>
        <w:spacing w:after="0" w:line="360" w:lineRule="auto"/>
        <w:rPr>
          <w:rFonts w:cstheme="minorHAnsi"/>
          <w:szCs w:val="28"/>
        </w:rPr>
      </w:pPr>
      <w:r w:rsidRPr="00571247">
        <w:rPr>
          <w:rFonts w:cstheme="minorHAnsi"/>
          <w:szCs w:val="28"/>
        </w:rPr>
        <w:t>Rocha, Paulo Eduardo Darski (1); Mesquita, Claudia Baima (2); Moon, Beatriz Se Keng (3); Lopes, Pâmela de Oliveira (4); Neves, Filipe Graciano (5)</w:t>
      </w:r>
    </w:p>
    <w:p w:rsidR="00571247" w:rsidRPr="00EE6BE8" w:rsidRDefault="00571247" w:rsidP="00571247">
      <w:pPr>
        <w:pStyle w:val="Ttulodoartigo-SIBRAGEC"/>
        <w:numPr>
          <w:ilvl w:val="0"/>
          <w:numId w:val="6"/>
        </w:numPr>
        <w:spacing w:after="0"/>
        <w:ind w:left="360"/>
        <w:jc w:val="left"/>
        <w:rPr>
          <w:rStyle w:val="contatos-SIBRAGECChar"/>
          <w:rFonts w:ascii="Calibri" w:hAnsi="Calibri" w:cs="Calibri"/>
          <w:b w:val="0"/>
          <w:caps w:val="0"/>
          <w:sz w:val="20"/>
        </w:rPr>
      </w:pPr>
      <w:r w:rsidRPr="00EE6BE8">
        <w:rPr>
          <w:rStyle w:val="contatos-SIBRAGECChar"/>
          <w:rFonts w:ascii="Calibri" w:hAnsi="Calibri" w:cs="Calibri"/>
          <w:b w:val="0"/>
          <w:caps w:val="0"/>
          <w:sz w:val="20"/>
        </w:rPr>
        <w:t xml:space="preserve">Universidade do Estado do Rio de Janeiro, </w:t>
      </w:r>
      <w:hyperlink r:id="rId10" w:history="1">
        <w:r w:rsidRPr="00EE6BE8">
          <w:rPr>
            <w:rStyle w:val="Hyperlink"/>
            <w:rFonts w:ascii="Calibri" w:hAnsi="Calibri" w:cs="Calibri"/>
            <w:b w:val="0"/>
            <w:caps w:val="0"/>
            <w:color w:val="auto"/>
            <w:sz w:val="20"/>
            <w:u w:val="none"/>
            <w:lang w:eastAsia="ar-SA"/>
          </w:rPr>
          <w:t>pauloedurocha@gmail.com</w:t>
        </w:r>
      </w:hyperlink>
    </w:p>
    <w:p w:rsidR="00571247" w:rsidRPr="00EE6BE8" w:rsidRDefault="00571247" w:rsidP="00571247">
      <w:pPr>
        <w:pStyle w:val="Ttulodoartigo-SIBRAGEC"/>
        <w:numPr>
          <w:ilvl w:val="0"/>
          <w:numId w:val="6"/>
        </w:numPr>
        <w:spacing w:after="0"/>
        <w:ind w:left="360"/>
        <w:jc w:val="left"/>
        <w:rPr>
          <w:rStyle w:val="contatos-SIBRAGECChar"/>
          <w:rFonts w:ascii="Calibri" w:hAnsi="Calibri" w:cs="Calibri"/>
          <w:b w:val="0"/>
          <w:sz w:val="20"/>
        </w:rPr>
      </w:pPr>
      <w:r w:rsidRPr="00EE6BE8">
        <w:rPr>
          <w:rStyle w:val="contatos-SIBRAGECChar"/>
          <w:rFonts w:ascii="Calibri" w:hAnsi="Calibri" w:cs="Calibri"/>
          <w:b w:val="0"/>
          <w:caps w:val="0"/>
          <w:sz w:val="20"/>
        </w:rPr>
        <w:t xml:space="preserve">Universidade do Estado do Rio de Janeiro, </w:t>
      </w:r>
      <w:hyperlink r:id="rId11" w:history="1">
        <w:r w:rsidRPr="00EE6BE8">
          <w:rPr>
            <w:rStyle w:val="Hyperlink"/>
            <w:rFonts w:ascii="Calibri" w:hAnsi="Calibri" w:cs="Calibri"/>
            <w:b w:val="0"/>
            <w:caps w:val="0"/>
            <w:color w:val="auto"/>
            <w:sz w:val="20"/>
            <w:u w:val="none"/>
            <w:lang w:eastAsia="ar-SA"/>
          </w:rPr>
          <w:t>claudia.baima31@gmail.com</w:t>
        </w:r>
      </w:hyperlink>
    </w:p>
    <w:p w:rsidR="00571247" w:rsidRPr="00EE6BE8" w:rsidRDefault="00571247" w:rsidP="00571247">
      <w:pPr>
        <w:pStyle w:val="Ttulodoartigo-SIBRAGEC"/>
        <w:numPr>
          <w:ilvl w:val="0"/>
          <w:numId w:val="6"/>
        </w:numPr>
        <w:spacing w:after="0"/>
        <w:ind w:left="360"/>
        <w:jc w:val="left"/>
        <w:rPr>
          <w:rStyle w:val="contatos-SIBRAGECChar"/>
          <w:rFonts w:ascii="Calibri" w:hAnsi="Calibri" w:cs="Calibri"/>
          <w:b w:val="0"/>
          <w:sz w:val="20"/>
        </w:rPr>
      </w:pPr>
      <w:r w:rsidRPr="00EE6BE8">
        <w:rPr>
          <w:rStyle w:val="contatos-SIBRAGECChar"/>
          <w:rFonts w:ascii="Calibri" w:hAnsi="Calibri" w:cs="Calibri"/>
          <w:b w:val="0"/>
          <w:caps w:val="0"/>
          <w:sz w:val="20"/>
        </w:rPr>
        <w:t xml:space="preserve">Universidade do Estado do Rio de Janeiro, </w:t>
      </w:r>
      <w:hyperlink r:id="rId12" w:history="1">
        <w:r w:rsidRPr="00EE6BE8">
          <w:rPr>
            <w:rStyle w:val="Hyperlink"/>
            <w:rFonts w:ascii="Calibri" w:hAnsi="Calibri" w:cs="Calibri"/>
            <w:b w:val="0"/>
            <w:caps w:val="0"/>
            <w:color w:val="auto"/>
            <w:sz w:val="20"/>
            <w:u w:val="none"/>
            <w:lang w:eastAsia="ar-SA"/>
          </w:rPr>
          <w:t>beatrizsekengmoon@hotmail.com</w:t>
        </w:r>
      </w:hyperlink>
      <w:r w:rsidRPr="00EE6BE8">
        <w:rPr>
          <w:rStyle w:val="contatos-SIBRAGECChar"/>
          <w:rFonts w:ascii="Calibri" w:hAnsi="Calibri" w:cs="Calibri"/>
          <w:b w:val="0"/>
          <w:caps w:val="0"/>
          <w:sz w:val="20"/>
        </w:rPr>
        <w:t xml:space="preserve"> </w:t>
      </w:r>
    </w:p>
    <w:p w:rsidR="00571247" w:rsidRPr="00EE6BE8" w:rsidRDefault="00571247" w:rsidP="00571247">
      <w:pPr>
        <w:pStyle w:val="Ttulodoartigo-SIBRAGEC"/>
        <w:numPr>
          <w:ilvl w:val="0"/>
          <w:numId w:val="6"/>
        </w:numPr>
        <w:spacing w:after="0"/>
        <w:ind w:left="360"/>
        <w:jc w:val="left"/>
        <w:rPr>
          <w:rStyle w:val="contatos-SIBRAGECChar"/>
          <w:rFonts w:ascii="Calibri" w:hAnsi="Calibri" w:cs="Calibri"/>
          <w:b w:val="0"/>
          <w:sz w:val="20"/>
        </w:rPr>
      </w:pPr>
      <w:r w:rsidRPr="00EE6BE8">
        <w:rPr>
          <w:rStyle w:val="contatos-SIBRAGECChar"/>
          <w:rFonts w:ascii="Calibri" w:hAnsi="Calibri" w:cs="Calibri"/>
          <w:b w:val="0"/>
          <w:caps w:val="0"/>
          <w:sz w:val="20"/>
        </w:rPr>
        <w:t xml:space="preserve">Universidade do Estado do Rio de Janeiro, </w:t>
      </w:r>
      <w:hyperlink r:id="rId13" w:history="1">
        <w:r w:rsidRPr="00EE6BE8">
          <w:rPr>
            <w:rStyle w:val="Hyperlink"/>
            <w:rFonts w:ascii="Calibri" w:hAnsi="Calibri" w:cs="Calibri"/>
            <w:b w:val="0"/>
            <w:caps w:val="0"/>
            <w:color w:val="auto"/>
            <w:sz w:val="20"/>
            <w:u w:val="none"/>
            <w:lang w:eastAsia="ar-SA"/>
          </w:rPr>
          <w:t>pamelasepol@hotmail.com</w:t>
        </w:r>
      </w:hyperlink>
    </w:p>
    <w:p w:rsidR="00571247" w:rsidRPr="00EE6BE8" w:rsidRDefault="00571247" w:rsidP="00571247">
      <w:pPr>
        <w:pStyle w:val="Ttulodoartigo-SIBRAGEC"/>
        <w:numPr>
          <w:ilvl w:val="0"/>
          <w:numId w:val="6"/>
        </w:numPr>
        <w:spacing w:after="0"/>
        <w:ind w:left="360"/>
        <w:jc w:val="left"/>
        <w:rPr>
          <w:rFonts w:ascii="Calibri" w:hAnsi="Calibri" w:cs="Calibri"/>
          <w:b w:val="0"/>
          <w:sz w:val="20"/>
          <w:lang w:eastAsia="ar-SA"/>
        </w:rPr>
      </w:pPr>
      <w:r w:rsidRPr="00EE6BE8">
        <w:rPr>
          <w:rStyle w:val="contatos-SIBRAGECChar"/>
          <w:rFonts w:ascii="Calibri" w:hAnsi="Calibri" w:cs="Calibri"/>
          <w:b w:val="0"/>
          <w:caps w:val="0"/>
          <w:sz w:val="20"/>
        </w:rPr>
        <w:t xml:space="preserve">Universidade do Estado do Rio de Janeiro, </w:t>
      </w:r>
      <w:hyperlink r:id="rId14" w:history="1">
        <w:r w:rsidRPr="00EE6BE8">
          <w:rPr>
            <w:rStyle w:val="Hyperlink"/>
            <w:rFonts w:ascii="Calibri" w:hAnsi="Calibri" w:cs="Calibri"/>
            <w:b w:val="0"/>
            <w:caps w:val="0"/>
            <w:color w:val="auto"/>
            <w:sz w:val="20"/>
            <w:u w:val="none"/>
            <w:lang w:eastAsia="ar-SA"/>
          </w:rPr>
          <w:t>filipe.graciano.neves@gmail.com</w:t>
        </w:r>
      </w:hyperlink>
    </w:p>
    <w:p w:rsidR="009B4E75" w:rsidRPr="00EE6BE8" w:rsidRDefault="009B4E75" w:rsidP="005E1538">
      <w:pPr>
        <w:pBdr>
          <w:bottom w:val="single" w:sz="6" w:space="1" w:color="auto"/>
        </w:pBdr>
        <w:rPr>
          <w:rFonts w:ascii="Calibri" w:hAnsi="Calibri" w:cs="Calibri"/>
          <w:sz w:val="20"/>
          <w:szCs w:val="20"/>
        </w:rPr>
      </w:pPr>
    </w:p>
    <w:p w:rsidR="009B4E75" w:rsidRPr="00E12365" w:rsidRDefault="009B4E75" w:rsidP="005E1538">
      <w:pPr>
        <w:rPr>
          <w:rFonts w:cstheme="minorHAnsi"/>
          <w:sz w:val="18"/>
          <w:szCs w:val="18"/>
        </w:rPr>
        <w:sectPr w:rsidR="009B4E75" w:rsidRPr="00E12365" w:rsidSect="005E1538">
          <w:headerReference w:type="default" r:id="rId15"/>
          <w:footerReference w:type="default" r:id="rId16"/>
          <w:pgSz w:w="11906" w:h="16838"/>
          <w:pgMar w:top="1418" w:right="1134" w:bottom="851" w:left="1134" w:header="708" w:footer="708" w:gutter="0"/>
          <w:cols w:space="708"/>
          <w:docGrid w:linePitch="360"/>
        </w:sectPr>
      </w:pPr>
    </w:p>
    <w:p w:rsidR="009B4E75" w:rsidRPr="00E12365" w:rsidRDefault="009B4E75" w:rsidP="009C3C1C">
      <w:pPr>
        <w:pBdr>
          <w:bottom w:val="single" w:sz="6" w:space="1" w:color="auto"/>
        </w:pBdr>
        <w:ind w:right="-189"/>
        <w:rPr>
          <w:rFonts w:cstheme="minorHAnsi"/>
          <w:b/>
          <w:szCs w:val="18"/>
        </w:rPr>
      </w:pPr>
      <w:r w:rsidRPr="00E12365">
        <w:rPr>
          <w:rFonts w:cstheme="minorHAnsi"/>
          <w:b/>
          <w:szCs w:val="18"/>
        </w:rPr>
        <w:lastRenderedPageBreak/>
        <w:t>Informações do Artigo</w:t>
      </w:r>
    </w:p>
    <w:p w:rsidR="009B4E75" w:rsidRPr="00E12365" w:rsidRDefault="009B4E75" w:rsidP="009C3C1C">
      <w:pPr>
        <w:spacing w:after="0"/>
        <w:ind w:right="-189"/>
        <w:rPr>
          <w:rFonts w:cstheme="minorHAnsi"/>
          <w:i/>
          <w:sz w:val="20"/>
          <w:szCs w:val="18"/>
        </w:rPr>
      </w:pPr>
      <w:r w:rsidRPr="00E12365">
        <w:rPr>
          <w:rFonts w:cstheme="minorHAnsi"/>
          <w:i/>
          <w:sz w:val="20"/>
          <w:szCs w:val="18"/>
        </w:rPr>
        <w:t>Histórico:</w:t>
      </w:r>
    </w:p>
    <w:p w:rsidR="009B4E75" w:rsidRPr="00E12365" w:rsidRDefault="009B4E75" w:rsidP="009C3C1C">
      <w:pPr>
        <w:spacing w:after="0"/>
        <w:ind w:right="-114"/>
        <w:rPr>
          <w:rFonts w:cstheme="minorHAnsi"/>
          <w:i/>
          <w:sz w:val="20"/>
          <w:szCs w:val="18"/>
        </w:rPr>
      </w:pPr>
      <w:r w:rsidRPr="00E12365">
        <w:rPr>
          <w:rFonts w:cstheme="minorHAnsi"/>
          <w:i/>
          <w:sz w:val="20"/>
          <w:szCs w:val="18"/>
        </w:rPr>
        <w:t xml:space="preserve">Recebimento: </w:t>
      </w:r>
      <w:r w:rsidR="007F6F57">
        <w:rPr>
          <w:rFonts w:cstheme="minorHAnsi"/>
          <w:i/>
          <w:sz w:val="20"/>
          <w:szCs w:val="18"/>
        </w:rPr>
        <w:t>17 Mar 2021</w:t>
      </w:r>
    </w:p>
    <w:p w:rsidR="00DB50D2" w:rsidRPr="00E12365" w:rsidRDefault="009B4E75" w:rsidP="00DB50D2">
      <w:pPr>
        <w:spacing w:after="0"/>
        <w:ind w:right="-114"/>
        <w:rPr>
          <w:rFonts w:cstheme="minorHAnsi"/>
          <w:i/>
          <w:sz w:val="20"/>
          <w:szCs w:val="18"/>
        </w:rPr>
      </w:pPr>
      <w:r w:rsidRPr="00E12365">
        <w:rPr>
          <w:rFonts w:cstheme="minorHAnsi"/>
          <w:i/>
          <w:sz w:val="20"/>
          <w:szCs w:val="18"/>
        </w:rPr>
        <w:t xml:space="preserve">Revisão: </w:t>
      </w:r>
      <w:r w:rsidR="007F6F57">
        <w:rPr>
          <w:rFonts w:cstheme="minorHAnsi"/>
          <w:i/>
          <w:sz w:val="20"/>
          <w:szCs w:val="18"/>
        </w:rPr>
        <w:t>20 Mar 2021</w:t>
      </w:r>
    </w:p>
    <w:p w:rsidR="009B4E75" w:rsidRPr="00E12365" w:rsidRDefault="004803FC" w:rsidP="00DB50D2">
      <w:pPr>
        <w:spacing w:after="0"/>
        <w:ind w:right="-114"/>
        <w:rPr>
          <w:rFonts w:cstheme="minorHAnsi"/>
          <w:i/>
          <w:sz w:val="20"/>
          <w:szCs w:val="18"/>
        </w:rPr>
      </w:pPr>
      <w:r w:rsidRPr="00E12365">
        <w:rPr>
          <w:rFonts w:cstheme="minorHAnsi"/>
          <w:i/>
          <w:sz w:val="20"/>
          <w:szCs w:val="18"/>
        </w:rPr>
        <w:t>Aprovação:</w:t>
      </w:r>
      <w:r w:rsidR="007F6F57">
        <w:rPr>
          <w:rFonts w:cstheme="minorHAnsi"/>
          <w:i/>
          <w:sz w:val="20"/>
          <w:szCs w:val="18"/>
        </w:rPr>
        <w:t>10 Abr 2021</w:t>
      </w:r>
    </w:p>
    <w:p w:rsidR="009B4E75" w:rsidRPr="00E12365" w:rsidRDefault="009B4E75" w:rsidP="009C3C1C">
      <w:pPr>
        <w:pBdr>
          <w:bottom w:val="single" w:sz="6" w:space="1" w:color="auto"/>
        </w:pBdr>
        <w:spacing w:after="0"/>
        <w:ind w:right="-189"/>
        <w:rPr>
          <w:rFonts w:cstheme="minorHAnsi"/>
          <w:i/>
          <w:szCs w:val="18"/>
        </w:rPr>
      </w:pPr>
    </w:p>
    <w:p w:rsidR="009B4E75" w:rsidRPr="00E12365" w:rsidRDefault="009B4E75" w:rsidP="009C3C1C">
      <w:pPr>
        <w:spacing w:after="0"/>
        <w:ind w:right="-189"/>
        <w:rPr>
          <w:rFonts w:cstheme="minorHAnsi"/>
          <w:i/>
          <w:szCs w:val="18"/>
        </w:rPr>
      </w:pPr>
    </w:p>
    <w:p w:rsidR="009B4E75" w:rsidRPr="00E12365" w:rsidRDefault="00571247" w:rsidP="009C3C1C">
      <w:pPr>
        <w:spacing w:after="0"/>
        <w:ind w:right="-189"/>
        <w:rPr>
          <w:rFonts w:cstheme="minorHAnsi"/>
          <w:i/>
          <w:sz w:val="20"/>
          <w:szCs w:val="18"/>
        </w:rPr>
      </w:pPr>
      <w:r>
        <w:rPr>
          <w:rFonts w:cstheme="minorHAnsi"/>
          <w:i/>
          <w:sz w:val="20"/>
          <w:szCs w:val="18"/>
        </w:rPr>
        <w:t>Palavras ch</w:t>
      </w:r>
      <w:r w:rsidR="00267FFE" w:rsidRPr="00E12365">
        <w:rPr>
          <w:rFonts w:cstheme="minorHAnsi"/>
          <w:i/>
          <w:sz w:val="20"/>
          <w:szCs w:val="18"/>
        </w:rPr>
        <w:t>ave:</w:t>
      </w:r>
    </w:p>
    <w:p w:rsidR="005E1538" w:rsidRPr="00E12365" w:rsidRDefault="00571247" w:rsidP="009C3C1C">
      <w:pPr>
        <w:pBdr>
          <w:bottom w:val="single" w:sz="6" w:space="1" w:color="auto"/>
        </w:pBdr>
        <w:spacing w:after="0"/>
        <w:ind w:right="-29"/>
        <w:rPr>
          <w:rFonts w:cstheme="minorHAnsi"/>
          <w:b/>
          <w:szCs w:val="18"/>
        </w:rPr>
      </w:pPr>
      <w:r w:rsidRPr="00136F53">
        <w:rPr>
          <w:sz w:val="20"/>
          <w:szCs w:val="16"/>
        </w:rPr>
        <w:t>Instalações elétricas especiais, Instalações elétricas em patrimônio histórico, Instalações em edificações históricas</w:t>
      </w:r>
      <w:r w:rsidRPr="00E12365">
        <w:rPr>
          <w:rFonts w:cstheme="minorHAnsi"/>
          <w:i/>
          <w:sz w:val="20"/>
          <w:szCs w:val="18"/>
        </w:rPr>
        <w:t xml:space="preserve"> </w:t>
      </w:r>
      <w:r w:rsidR="005E1538" w:rsidRPr="00E12365">
        <w:rPr>
          <w:rFonts w:cstheme="minorHAnsi"/>
          <w:i/>
          <w:sz w:val="20"/>
          <w:szCs w:val="18"/>
        </w:rPr>
        <w:br w:type="column"/>
      </w:r>
      <w:r w:rsidR="005E1538" w:rsidRPr="00E12365">
        <w:rPr>
          <w:rFonts w:cstheme="minorHAnsi"/>
          <w:b/>
          <w:szCs w:val="18"/>
        </w:rPr>
        <w:lastRenderedPageBreak/>
        <w:t>Resum</w:t>
      </w:r>
      <w:r>
        <w:rPr>
          <w:rFonts w:cstheme="minorHAnsi"/>
          <w:b/>
          <w:szCs w:val="18"/>
        </w:rPr>
        <w:t>o</w:t>
      </w:r>
      <w:r w:rsidR="005E1538" w:rsidRPr="00E12365">
        <w:rPr>
          <w:rFonts w:cstheme="minorHAnsi"/>
          <w:b/>
          <w:szCs w:val="18"/>
        </w:rPr>
        <w:t>:</w:t>
      </w:r>
    </w:p>
    <w:p w:rsidR="00813D3B" w:rsidRDefault="00571247" w:rsidP="00571247">
      <w:pPr>
        <w:pStyle w:val="corpodoresumo-SIBRAGEC"/>
        <w:spacing w:before="0"/>
        <w:rPr>
          <w:rFonts w:ascii="Calibri" w:hAnsi="Calibri" w:cs="Calibri"/>
          <w:bCs/>
          <w:i/>
          <w:sz w:val="22"/>
          <w:szCs w:val="22"/>
        </w:rPr>
      </w:pPr>
      <w:r w:rsidRPr="00EE6BE8">
        <w:rPr>
          <w:rFonts w:ascii="Calibri" w:hAnsi="Calibri" w:cs="Calibri"/>
          <w:bCs/>
          <w:i/>
          <w:sz w:val="22"/>
          <w:szCs w:val="22"/>
        </w:rPr>
        <w:t xml:space="preserve">As tipicidades de um projeto de instalações elétricas de edificações históricas e de monumentos tombados nem sempre são totalmente atendidas pelas normas atuais da ABNT. As NBRs 5410 e 13570 aplicam-se a construções novas e não englobam todos os aspectos necessários para restaurações, especialmente porque, em muitos casos, não existiam instalações prediais quando concebidas. Muitas vezes, nessas edificações, a inserção ou adaptação das instalações foram realizadas ao longo do tempo sem nenhuma fiscalização e/ou plano de manutenção preventiva. As obras mais recentes apresentam, em sua maioria, sérios problemas de segurança devido ao estado precário dos componentes elétricos, além disso, não respeitam os princípios da intervenção mínima e da reversibilidade dos materiais empregados em sua concepção original. Consequentemente, são comuns em construções históricas cabos elétricos aparentes, instalação inadequada de luminárias e sobrecarga de energia. Nosso objeto de estudo é a Casa do Barão do Rio Branco, localizada na cidade de Petrópolis, tombada pelo INEPAC em 1998. Foi onde o Barão do Rio Branco assinou o Tratado de Petrópolis, que anexou o território do Acre ao Brasil. O imóvel foi adquirido pela Universidade do Estado do Rio de Janeiro (UERJ) em março de 2014, com a finalidade de abrigar o recente curso de graduação em Arquitetura e Urbanismo. Entretanto, devido às condições estruturais, a casa encontra-se interditada e sem uso, aguardando processo de restauração. Este trabalho tem como objetivo a realização de um </w:t>
      </w:r>
      <w:r w:rsidRPr="00EE6BE8">
        <w:rPr>
          <w:rFonts w:ascii="Calibri" w:hAnsi="Calibri" w:cs="Calibri"/>
          <w:bCs/>
          <w:i/>
          <w:iCs/>
          <w:sz w:val="22"/>
          <w:szCs w:val="22"/>
        </w:rPr>
        <w:t>retrofit</w:t>
      </w:r>
      <w:r w:rsidRPr="00EE6BE8">
        <w:rPr>
          <w:rFonts w:ascii="Calibri" w:hAnsi="Calibri" w:cs="Calibri"/>
          <w:bCs/>
          <w:i/>
          <w:sz w:val="22"/>
          <w:szCs w:val="22"/>
        </w:rPr>
        <w:t xml:space="preserve"> luminotécnico e de um projeto de instalações elétricas, utilizando como ferramenta computacional a tecnologia </w:t>
      </w:r>
      <w:r w:rsidRPr="00EE6BE8">
        <w:rPr>
          <w:rFonts w:ascii="Calibri" w:hAnsi="Calibri" w:cs="Calibri"/>
          <w:i/>
          <w:sz w:val="22"/>
          <w:szCs w:val="22"/>
        </w:rPr>
        <w:t>BIM (</w:t>
      </w:r>
      <w:r w:rsidRPr="00EE6BE8">
        <w:rPr>
          <w:rFonts w:ascii="Calibri" w:hAnsi="Calibri" w:cs="Calibri"/>
          <w:i/>
          <w:iCs/>
          <w:sz w:val="22"/>
          <w:szCs w:val="22"/>
        </w:rPr>
        <w:t>Building Information Modeling</w:t>
      </w:r>
      <w:r w:rsidRPr="00EE6BE8">
        <w:rPr>
          <w:rFonts w:ascii="Calibri" w:hAnsi="Calibri" w:cs="Calibri"/>
          <w:i/>
          <w:sz w:val="22"/>
          <w:szCs w:val="22"/>
        </w:rPr>
        <w:t>), através do software REVIT</w:t>
      </w:r>
      <w:r w:rsidRPr="00EE6BE8">
        <w:rPr>
          <w:rFonts w:ascii="Calibri" w:hAnsi="Calibri" w:cs="Calibri"/>
          <w:bCs/>
          <w:i/>
          <w:sz w:val="22"/>
          <w:szCs w:val="22"/>
        </w:rPr>
        <w:t>, visando atender às demandas contemporâneas para um novo uso da edificação, dentro dos preceitos conceituais e teóricos de um projeto de restauração, sem que se alterem suas condições originais.</w:t>
      </w:r>
    </w:p>
    <w:p w:rsidR="009B4E75" w:rsidRPr="00EE6BE8" w:rsidRDefault="009B4E75" w:rsidP="00571247">
      <w:pPr>
        <w:pStyle w:val="corpodoresumo-SIBRAGEC"/>
        <w:spacing w:before="0"/>
        <w:rPr>
          <w:rFonts w:ascii="Calibri" w:hAnsi="Calibri" w:cs="Calibri"/>
          <w:sz w:val="22"/>
          <w:szCs w:val="22"/>
        </w:rPr>
        <w:sectPr w:rsidR="009B4E75" w:rsidRPr="00EE6BE8" w:rsidSect="009C3C1C">
          <w:type w:val="continuous"/>
          <w:pgSz w:w="11906" w:h="16838"/>
          <w:pgMar w:top="1418" w:right="1134" w:bottom="851" w:left="1134" w:header="709" w:footer="709" w:gutter="0"/>
          <w:cols w:num="2" w:space="708" w:equalWidth="0">
            <w:col w:w="2438" w:space="708"/>
            <w:col w:w="6492"/>
          </w:cols>
          <w:docGrid w:linePitch="360"/>
        </w:sectPr>
      </w:pPr>
    </w:p>
    <w:p w:rsidR="00313E0C" w:rsidRPr="00E12365" w:rsidRDefault="00313E0C" w:rsidP="00313E0C">
      <w:pPr>
        <w:pBdr>
          <w:bottom w:val="single" w:sz="6" w:space="1" w:color="auto"/>
        </w:pBdr>
        <w:rPr>
          <w:rFonts w:cstheme="minorHAnsi"/>
          <w:sz w:val="18"/>
          <w:szCs w:val="18"/>
        </w:rPr>
      </w:pPr>
    </w:p>
    <w:p w:rsidR="00313E0C" w:rsidRPr="00E12365" w:rsidRDefault="00313E0C" w:rsidP="00313E0C">
      <w:pPr>
        <w:rPr>
          <w:rFonts w:cstheme="minorHAnsi"/>
          <w:sz w:val="18"/>
          <w:szCs w:val="18"/>
        </w:rPr>
      </w:pPr>
    </w:p>
    <w:p w:rsidR="000254FB" w:rsidRPr="00E12365" w:rsidRDefault="000254FB" w:rsidP="00313E0C">
      <w:pPr>
        <w:rPr>
          <w:rFonts w:cstheme="minorHAnsi"/>
          <w:sz w:val="18"/>
          <w:szCs w:val="18"/>
        </w:rPr>
        <w:sectPr w:rsidR="000254FB" w:rsidRPr="00E12365" w:rsidSect="00313E0C">
          <w:footerReference w:type="default" r:id="rId17"/>
          <w:type w:val="continuous"/>
          <w:pgSz w:w="11906" w:h="16838"/>
          <w:pgMar w:top="1418" w:right="1134" w:bottom="851" w:left="1134" w:header="708" w:footer="708" w:gutter="0"/>
          <w:cols w:space="708"/>
          <w:docGrid w:linePitch="360"/>
        </w:sectPr>
      </w:pPr>
    </w:p>
    <w:p w:rsidR="009B4E75" w:rsidRDefault="00571247" w:rsidP="00212D37">
      <w:pPr>
        <w:pStyle w:val="Ttulo1"/>
      </w:pPr>
      <w:r>
        <w:lastRenderedPageBreak/>
        <w:t>Introdução</w:t>
      </w:r>
    </w:p>
    <w:p w:rsidR="00BC28DE" w:rsidRDefault="00BC28DE" w:rsidP="00BC28DE"/>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O presente trabalho consiste numa proposta de reabilitação da Casa do Barão do Rio Branco, baseada em projeto elaborado pelos alunos do sétimo período de graduação do Departamento de Arquitetura e Urbanismo da Universidade do Estado do Rio de Janeiro (DAU/UERJ).</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Carregada de passado, sem que se tenha, entretanto, conseguido determinar a data de sua construção, serão adotados três marcos na sua cronologia.</w:t>
      </w:r>
    </w:p>
    <w:p w:rsidR="0088277D" w:rsidRPr="0088277D" w:rsidRDefault="0088277D" w:rsidP="0088277D">
      <w:pPr>
        <w:pStyle w:val="corpodoartigo-SIBRAGEC"/>
        <w:rPr>
          <w:rFonts w:asciiTheme="minorHAnsi" w:hAnsiTheme="minorHAnsi" w:cstheme="minorHAnsi"/>
          <w:bCs/>
          <w:sz w:val="22"/>
          <w:szCs w:val="22"/>
        </w:rPr>
      </w:pPr>
      <w:r w:rsidRPr="0088277D">
        <w:rPr>
          <w:rFonts w:asciiTheme="minorHAnsi" w:hAnsiTheme="minorHAnsi" w:cstheme="minorHAnsi"/>
          <w:sz w:val="22"/>
          <w:szCs w:val="22"/>
        </w:rPr>
        <w:t xml:space="preserve">Considera-se como primeiro marco a assinatura do Tratado de Petrópolis pelo então locatário Barão do Rio Branco, quando prevalece o uso do monumento como espaço residencial, datada no período de 1902 a 1912. Em segundo marco, a casa torna-se residência e atelier da escultora surrealista Maria Martins. Não se tem conhecimento da data de chegada e do tempo de permanência de Maria Martins na Casa, mas deduz-se que ambos se insiram no período entre seu retorno ao Brasil da vida no exterior, no final de 1949, e sua morte, em 1963. Em 1991 a Casa passa a ser alugada para a prefeitura de Petrópolis pela família de Luiz Philipe Martins. Quando destinada ao serviço público, registra-se o terceiro marco histórico, pois é nesse momento que muitas reportagens passaram a retratar o estado de degradação do imóvel, </w:t>
      </w:r>
      <w:r w:rsidRPr="0088277D">
        <w:rPr>
          <w:rFonts w:asciiTheme="minorHAnsi" w:hAnsiTheme="minorHAnsi" w:cstheme="minorHAnsi"/>
          <w:bCs/>
          <w:sz w:val="22"/>
          <w:szCs w:val="22"/>
        </w:rPr>
        <w:t>posteriormente tombado pelo Instituto Estadual do Patrimônio Cultural (INEPAC), processo: E- 03/17.007/1981. E em 1985, um sobretombo pela prefeitura municipal de Petrópolis, processo n</w:t>
      </w:r>
      <w:r w:rsidRPr="0088277D">
        <w:rPr>
          <w:rFonts w:asciiTheme="minorHAnsi" w:hAnsiTheme="minorHAnsi" w:cstheme="minorHAnsi"/>
          <w:bCs/>
          <w:sz w:val="22"/>
          <w:szCs w:val="22"/>
          <w:vertAlign w:val="superscript"/>
        </w:rPr>
        <w:t xml:space="preserve">o </w:t>
      </w:r>
      <w:r w:rsidRPr="0088277D">
        <w:rPr>
          <w:rFonts w:asciiTheme="minorHAnsi" w:hAnsiTheme="minorHAnsi" w:cstheme="minorHAnsi"/>
          <w:bCs/>
          <w:sz w:val="22"/>
          <w:szCs w:val="22"/>
        </w:rPr>
        <w:t>308/85.</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Em 2014 a casa é comprada pela UERJ, a fim de abrigar o início do curso de Arquitetura e Urbanismo, ocorrido em 2016. Em 2017 a utilização da casa é interditada devido a questões estruturais.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É difícil precisar as diversas adaptações na casa e os momentos em que foram feitas, mas após levantamentos iconográficos, arquitetônicos e históricos, fica evidente que a casa passou por um grande processo de sobreposições estéticas. Não é possível definir com exatidão estilo, técnica e período de tais intervenções, tornando-se inviável uma restauração, que</w:t>
      </w:r>
      <w:r>
        <w:rPr>
          <w:rFonts w:cstheme="minorHAnsi"/>
        </w:rPr>
        <w:t xml:space="preserve"> </w:t>
      </w:r>
      <w:r w:rsidRPr="0088277D">
        <w:rPr>
          <w:rFonts w:asciiTheme="minorHAnsi" w:hAnsiTheme="minorHAnsi" w:cstheme="minorHAnsi"/>
          <w:sz w:val="22"/>
          <w:szCs w:val="22"/>
        </w:rPr>
        <w:t xml:space="preserve">sequer chegaria a ser tipológica, e sim cegamente feita por analogia, comprometendo a autenticidade da </w:t>
      </w:r>
      <w:r w:rsidRPr="0088277D">
        <w:rPr>
          <w:rFonts w:asciiTheme="minorHAnsi" w:hAnsiTheme="minorHAnsi" w:cstheme="minorHAnsi"/>
          <w:sz w:val="22"/>
          <w:szCs w:val="22"/>
        </w:rPr>
        <w:lastRenderedPageBreak/>
        <w:t>obra, ferindo os princípios do restauro, definidos por Camilo Boito</w:t>
      </w:r>
      <w:r w:rsidRPr="0088277D">
        <w:rPr>
          <w:rFonts w:asciiTheme="minorHAnsi" w:hAnsiTheme="minorHAnsi" w:cstheme="minorHAnsi"/>
          <w:sz w:val="22"/>
          <w:szCs w:val="22"/>
        </w:rPr>
        <w:footnoteReference w:id="1"/>
      </w:r>
      <w:r w:rsidRPr="0088277D">
        <w:rPr>
          <w:rFonts w:asciiTheme="minorHAnsi" w:hAnsiTheme="minorHAnsi" w:cstheme="minorHAnsi"/>
          <w:sz w:val="22"/>
          <w:szCs w:val="22"/>
        </w:rPr>
        <w:t>(1836-1915) e Cesare Brandi</w:t>
      </w:r>
      <w:r w:rsidRPr="0088277D">
        <w:rPr>
          <w:rFonts w:asciiTheme="minorHAnsi" w:hAnsiTheme="minorHAnsi" w:cstheme="minorHAnsi"/>
          <w:sz w:val="22"/>
          <w:szCs w:val="22"/>
        </w:rPr>
        <w:footnoteReference w:id="2"/>
      </w:r>
      <w:r w:rsidRPr="0088277D">
        <w:rPr>
          <w:rFonts w:asciiTheme="minorHAnsi" w:hAnsiTheme="minorHAnsi" w:cstheme="minorHAnsi"/>
          <w:sz w:val="22"/>
          <w:szCs w:val="22"/>
        </w:rPr>
        <w:t>(1906-1988).</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A base teórica da proposta resulta da prevalência do histórico sobre o estético, condicionando o ato de restauração: “A restauração constitui o momento metodológico do reconhecimento da obra de arte, na sua consistência física e na sua dúplice polaridade estética e histórica, com vistas à sua transmissão para o futuro” (BRANDI, 2004, p.30).</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A matéria, depois de decorrido todo esse tempo, encontra-se em avançado estado de degradação, impedindo o uso efetivo dos espaços. É, portanto, o estado de conservação da obra, no momento da restauração que condiciona e limita a ação restauradora dessa intervenção, associada à falta de registros técnicos e históricos precisos. Devido a esta falta de dados, os alunos fizeram o levantamento métrico de toda a casa, Figura 1.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Fica evidente, ao longo do tempo, a prevalência do uso residencial. Pretende-se respeitar tal aspecto, propondo para a nova destinação a flexibilização do uso dos espaços. Os alunos propõem como novo uso da edificação a implantação de cursos de pós-graduação em arquitetura do DAU/UERJ.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A implantação de infraestruturas lógica, elétrica e hidráulica, a partir do momento em que se fazem necessárias à função prevista do edifício, será feita concomitantemente com o restauro das estruturas internas. A intervenção deverá atender aos princípios da reversibilidade e da intervenção mínima, seguindo os princípios de Brandi, associada ao bom senso, recorrendo a escolhas técnicas seguras, com vistas a conservar </w:t>
      </w:r>
      <w:r w:rsidRPr="0088277D">
        <w:rPr>
          <w:rFonts w:asciiTheme="minorHAnsi" w:hAnsiTheme="minorHAnsi" w:cstheme="minorHAnsi"/>
          <w:sz w:val="22"/>
          <w:szCs w:val="22"/>
        </w:rPr>
        <w:lastRenderedPageBreak/>
        <w:t>não só a matéria, mas também o funcionamento estrutural original, conciliando valores de segurança e conservação.</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O projeto compreende diversas ações, desde a consolidação estrutural, do telhado à fundação, a partir de análise estratigráfica, visando não só à conservação do edifício bem como sua preservação e compatibilização com as expectativas funcionais atuais.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Neste trabalho, será focado apenas no estudo de implementação do sistema elétrico, pois a precariedade das instalações elétricas atuais não estão adequadas para atender ao contexto do novo uso da edificação, estando agora destinada a abrigar as atividades de ensino e pesquisa do curso de pós graduação do Departamento de Arquitetura e Urbanismo (DAU), da Universidade do Estado do Rio de Janeiro (UERJ).</w:t>
      </w:r>
    </w:p>
    <w:p w:rsidR="0088277D" w:rsidRPr="00EE6BE8" w:rsidRDefault="0088277D" w:rsidP="0088277D">
      <w:pPr>
        <w:pStyle w:val="corpodoartigo-SIBRAGEC"/>
        <w:tabs>
          <w:tab w:val="left" w:pos="2685"/>
        </w:tabs>
        <w:spacing w:before="240"/>
        <w:jc w:val="center"/>
        <w:rPr>
          <w:rFonts w:asciiTheme="minorHAnsi" w:hAnsiTheme="minorHAnsi" w:cstheme="minorHAnsi"/>
          <w:bCs/>
          <w:sz w:val="22"/>
          <w:szCs w:val="18"/>
        </w:rPr>
      </w:pPr>
      <w:r w:rsidRPr="00EE6BE8">
        <w:rPr>
          <w:rFonts w:asciiTheme="minorHAnsi" w:hAnsiTheme="minorHAnsi" w:cstheme="minorHAnsi"/>
          <w:bCs/>
          <w:sz w:val="22"/>
          <w:szCs w:val="18"/>
        </w:rPr>
        <w:t>Figura 1</w:t>
      </w:r>
      <w:r w:rsidRPr="00EE6BE8">
        <w:rPr>
          <w:rFonts w:asciiTheme="minorHAnsi" w:hAnsiTheme="minorHAnsi" w:cstheme="minorHAnsi"/>
          <w:bCs/>
          <w:color w:val="000000"/>
          <w:sz w:val="22"/>
          <w:szCs w:val="18"/>
        </w:rPr>
        <w:t xml:space="preserve"> </w:t>
      </w:r>
      <w:r w:rsidRPr="00EE6BE8">
        <w:rPr>
          <w:rFonts w:asciiTheme="minorHAnsi" w:hAnsiTheme="minorHAnsi" w:cstheme="minorHAnsi"/>
          <w:bCs/>
          <w:sz w:val="22"/>
          <w:szCs w:val="18"/>
        </w:rPr>
        <w:t>– Fachada da Casa do Barão com os alunos fazendo o levantamento métrico da casa</w:t>
      </w:r>
    </w:p>
    <w:p w:rsidR="0088277D" w:rsidRPr="00EE6BE8" w:rsidRDefault="0088277D" w:rsidP="0088277D">
      <w:pPr>
        <w:pStyle w:val="corpodoartigo-SIBRAGEC"/>
        <w:tabs>
          <w:tab w:val="left" w:pos="2685"/>
        </w:tabs>
        <w:jc w:val="center"/>
        <w:rPr>
          <w:rFonts w:asciiTheme="minorHAnsi" w:hAnsiTheme="minorHAnsi" w:cstheme="minorHAnsi"/>
          <w:bCs/>
        </w:rPr>
      </w:pPr>
      <w:r w:rsidRPr="00EE6BE8">
        <w:rPr>
          <w:rFonts w:asciiTheme="minorHAnsi" w:hAnsiTheme="minorHAnsi" w:cstheme="minorHAnsi"/>
          <w:bCs/>
          <w:noProof/>
        </w:rPr>
        <w:drawing>
          <wp:inline distT="0" distB="0" distL="0" distR="0">
            <wp:extent cx="3047879" cy="2286000"/>
            <wp:effectExtent l="19050" t="0" r="121" b="0"/>
            <wp:docPr id="5" name="Imagem 4" descr="Uma imagem contendo grama, ao ar livre, céu, edifíc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sa do Barao.jpg"/>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1849" cy="2296478"/>
                    </a:xfrm>
                    <a:prstGeom prst="rect">
                      <a:avLst/>
                    </a:prstGeom>
                  </pic:spPr>
                </pic:pic>
              </a:graphicData>
            </a:graphic>
          </wp:inline>
        </w:drawing>
      </w:r>
    </w:p>
    <w:p w:rsidR="0088277D" w:rsidRPr="00EE6BE8" w:rsidRDefault="0088277D" w:rsidP="0088277D">
      <w:pPr>
        <w:pStyle w:val="legenda-SIBRAGEC"/>
        <w:spacing w:before="0" w:after="0"/>
        <w:rPr>
          <w:rFonts w:asciiTheme="minorHAnsi" w:hAnsiTheme="minorHAnsi" w:cstheme="minorHAnsi"/>
          <w:b w:val="0"/>
        </w:rPr>
      </w:pPr>
      <w:r w:rsidRPr="00EE6BE8">
        <w:rPr>
          <w:rFonts w:asciiTheme="minorHAnsi" w:hAnsiTheme="minorHAnsi" w:cstheme="minorHAnsi"/>
          <w:b w:val="0"/>
          <w:noProof/>
          <w:sz w:val="20"/>
          <w:szCs w:val="24"/>
        </w:rPr>
        <w:t>Fonte: autor (2019)</w:t>
      </w:r>
    </w:p>
    <w:p w:rsidR="0088277D" w:rsidRPr="0088277D" w:rsidRDefault="0088277D" w:rsidP="0088277D">
      <w:pPr>
        <w:pStyle w:val="corpodoartigo-SIBRAGEC"/>
        <w:rPr>
          <w:rFonts w:asciiTheme="minorHAnsi" w:hAnsiTheme="minorHAnsi" w:cstheme="minorHAnsi"/>
          <w:sz w:val="22"/>
          <w:szCs w:val="22"/>
        </w:rPr>
      </w:pPr>
    </w:p>
    <w:p w:rsidR="0088277D" w:rsidRDefault="0088277D" w:rsidP="0088277D">
      <w:pPr>
        <w:pStyle w:val="Ttulo1"/>
      </w:pPr>
      <w:r w:rsidRPr="0088277D">
        <w:t xml:space="preserve">Programa de </w:t>
      </w:r>
      <w:r>
        <w:t>necesidades</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As definições projetuais mostram que cada caso tem particularidades que não podem ser atendidas somente com o conhecimento da teoria do restauro, mas requerem também conhecimento profundo da preexistência, de seu uso atual, do que se pretende e bom-senso. Para a elaboração do projeto de reabilitação.</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Na distribuição proposta para as diferentes áreas, os alunos consideraram as atividades pedagógicas, administrativas, de serviço e a necessidade de espaços de convivência. </w:t>
      </w:r>
    </w:p>
    <w:p w:rsid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lastRenderedPageBreak/>
        <w:t>No térreo, Figura 2, fica o setor pedagógico, consistindo em três salas de aula, um amplo atelier de projeto, biblioteca, sala multiuso, laboratório de informática, copiadora e o espaço de vivência composto de três áreas: varanda, recepção/vivência e hall. No pavimento superior, Figura 3, fica o setor administrativo, distribuído entre sala dos professores, secretaria, almoxarifado, duas coordenações, sala de reuniões e copa. O setor de serviços concentra-se onde originalmente seria a extensão de serviços do casarão, abrigando copiadora, copa e depósito. Foi também contemplada a questão da acessibilidade para pessoas com deficiência, respeitando as prescrições da NBR-9050: Acessibilidade a edificações, mobiliário, espaços e equipamentos urbanos (ABNT, 2015).</w:t>
      </w:r>
    </w:p>
    <w:p w:rsidR="00EE6BE8" w:rsidRPr="0088277D" w:rsidRDefault="00EE6BE8" w:rsidP="0088277D">
      <w:pPr>
        <w:pStyle w:val="corpodoartigo-SIBRAGEC"/>
        <w:rPr>
          <w:rFonts w:asciiTheme="minorHAnsi" w:hAnsiTheme="minorHAnsi" w:cstheme="minorHAnsi"/>
          <w:sz w:val="22"/>
          <w:szCs w:val="22"/>
        </w:rPr>
      </w:pPr>
    </w:p>
    <w:p w:rsidR="0088277D" w:rsidRPr="00EE6BE8" w:rsidRDefault="0088277D" w:rsidP="00EE6BE8">
      <w:pPr>
        <w:pStyle w:val="corpodoartigo-SIBRAGEC"/>
        <w:tabs>
          <w:tab w:val="left" w:pos="2685"/>
        </w:tabs>
        <w:spacing w:after="0"/>
        <w:jc w:val="center"/>
        <w:rPr>
          <w:rFonts w:ascii="Calibri" w:hAnsi="Calibri" w:cs="Calibri"/>
          <w:sz w:val="20"/>
        </w:rPr>
      </w:pPr>
      <w:bookmarkStart w:id="0" w:name="_Hlk24215647"/>
      <w:r w:rsidRPr="00EE6BE8">
        <w:rPr>
          <w:rFonts w:ascii="Calibri" w:hAnsi="Calibri" w:cs="Calibri"/>
          <w:bCs/>
          <w:sz w:val="20"/>
        </w:rPr>
        <w:t>Figura 2</w:t>
      </w:r>
      <w:r w:rsidRPr="00EE6BE8">
        <w:rPr>
          <w:rFonts w:ascii="Calibri" w:hAnsi="Calibri" w:cs="Calibri"/>
          <w:bCs/>
          <w:color w:val="000000"/>
          <w:sz w:val="20"/>
        </w:rPr>
        <w:t xml:space="preserve"> </w:t>
      </w:r>
      <w:r w:rsidRPr="00EE6BE8">
        <w:rPr>
          <w:rFonts w:ascii="Calibri" w:hAnsi="Calibri" w:cs="Calibri"/>
          <w:bCs/>
          <w:sz w:val="20"/>
        </w:rPr>
        <w:t xml:space="preserve">– Planta Baixa do pavimento térreo com a proposta de novo uso </w:t>
      </w:r>
      <w:bookmarkEnd w:id="0"/>
    </w:p>
    <w:p w:rsidR="0088277D" w:rsidRPr="00EE6BE8" w:rsidRDefault="00EE6BE8" w:rsidP="00EE6BE8">
      <w:pPr>
        <w:pStyle w:val="legenda-SIBRAGEC"/>
        <w:spacing w:before="0" w:after="0"/>
        <w:rPr>
          <w:rFonts w:ascii="Calibri" w:hAnsi="Calibri" w:cs="Calibri"/>
          <w:b w:val="0"/>
          <w:sz w:val="20"/>
        </w:rPr>
      </w:pPr>
      <w:r w:rsidRPr="00EE6BE8">
        <w:rPr>
          <w:rFonts w:ascii="Calibri" w:hAnsi="Calibri" w:cs="Calibri"/>
          <w:b w:val="0"/>
          <w:noProof/>
          <w:sz w:val="20"/>
        </w:rPr>
        <w:drawing>
          <wp:anchor distT="0" distB="0" distL="114300" distR="114300" simplePos="0" relativeHeight="251659264" behindDoc="0" locked="0" layoutInCell="1" allowOverlap="1">
            <wp:simplePos x="0" y="0"/>
            <wp:positionH relativeFrom="column">
              <wp:posOffset>-73660</wp:posOffset>
            </wp:positionH>
            <wp:positionV relativeFrom="paragraph">
              <wp:posOffset>28575</wp:posOffset>
            </wp:positionV>
            <wp:extent cx="3011170" cy="1881505"/>
            <wp:effectExtent l="19050" t="0" r="0" b="0"/>
            <wp:wrapSquare wrapText="bothSides"/>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78" t="18060" r="27196" b="9197"/>
                    <a:stretch/>
                  </pic:blipFill>
                  <pic:spPr bwMode="auto">
                    <a:xfrm>
                      <a:off x="0" y="0"/>
                      <a:ext cx="3011170" cy="188150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8277D" w:rsidRPr="00EE6BE8">
        <w:rPr>
          <w:rFonts w:ascii="Calibri" w:hAnsi="Calibri" w:cs="Calibri"/>
          <w:b w:val="0"/>
          <w:noProof/>
          <w:sz w:val="20"/>
        </w:rPr>
        <w:t>Fonte: autor (2019)</w:t>
      </w:r>
    </w:p>
    <w:p w:rsidR="00EE6BE8" w:rsidRDefault="00EE6BE8" w:rsidP="0088277D">
      <w:pPr>
        <w:pStyle w:val="corpodoartigo-SIBRAGEC"/>
        <w:tabs>
          <w:tab w:val="left" w:pos="2685"/>
        </w:tabs>
        <w:spacing w:before="240"/>
        <w:jc w:val="center"/>
        <w:rPr>
          <w:b/>
          <w:bCs/>
          <w:sz w:val="22"/>
          <w:szCs w:val="18"/>
        </w:rPr>
      </w:pPr>
    </w:p>
    <w:p w:rsidR="0088277D" w:rsidRPr="00EE6BE8" w:rsidRDefault="0088277D" w:rsidP="00EE6BE8">
      <w:pPr>
        <w:pStyle w:val="corpodoartigo-SIBRAGEC"/>
        <w:tabs>
          <w:tab w:val="left" w:pos="2685"/>
        </w:tabs>
        <w:spacing w:after="0"/>
        <w:jc w:val="center"/>
        <w:rPr>
          <w:rFonts w:ascii="Calibri" w:hAnsi="Calibri" w:cs="Calibri"/>
          <w:sz w:val="20"/>
        </w:rPr>
      </w:pPr>
      <w:r w:rsidRPr="00EE6BE8">
        <w:rPr>
          <w:rFonts w:ascii="Calibri" w:hAnsi="Calibri" w:cs="Calibri"/>
          <w:bCs/>
          <w:sz w:val="20"/>
        </w:rPr>
        <w:t>Figura 3</w:t>
      </w:r>
      <w:r w:rsidRPr="00EE6BE8">
        <w:rPr>
          <w:rFonts w:ascii="Calibri" w:hAnsi="Calibri" w:cs="Calibri"/>
          <w:bCs/>
          <w:color w:val="000000"/>
          <w:sz w:val="20"/>
        </w:rPr>
        <w:t xml:space="preserve"> </w:t>
      </w:r>
      <w:r w:rsidRPr="00EE6BE8">
        <w:rPr>
          <w:rFonts w:ascii="Calibri" w:hAnsi="Calibri" w:cs="Calibri"/>
          <w:bCs/>
          <w:sz w:val="20"/>
        </w:rPr>
        <w:t xml:space="preserve">– Planta Baixa do pavimento superior para o novo uso </w:t>
      </w:r>
    </w:p>
    <w:p w:rsidR="007E4295" w:rsidRDefault="007E4295" w:rsidP="0088277D">
      <w:pPr>
        <w:pStyle w:val="legenda-SIBRAGEC"/>
        <w:spacing w:before="0" w:after="0"/>
      </w:pPr>
      <w:r>
        <w:rPr>
          <w:noProof/>
        </w:rPr>
        <w:drawing>
          <wp:anchor distT="0" distB="0" distL="114300" distR="114300" simplePos="0" relativeHeight="251662336" behindDoc="0" locked="0" layoutInCell="1" allowOverlap="1">
            <wp:simplePos x="0" y="0"/>
            <wp:positionH relativeFrom="column">
              <wp:posOffset>-41214</wp:posOffset>
            </wp:positionH>
            <wp:positionV relativeFrom="paragraph">
              <wp:posOffset>46842</wp:posOffset>
            </wp:positionV>
            <wp:extent cx="2979332" cy="1945758"/>
            <wp:effectExtent l="19050" t="0" r="0" b="0"/>
            <wp:wrapNone/>
            <wp:docPr id="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16085" t="28736" r="34109" b="13462"/>
                    <a:stretch/>
                  </pic:blipFill>
                  <pic:spPr bwMode="auto">
                    <a:xfrm>
                      <a:off x="0" y="0"/>
                      <a:ext cx="2979332" cy="194575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7E4295" w:rsidRDefault="007E4295" w:rsidP="0088277D">
      <w:pPr>
        <w:pStyle w:val="legenda-SIBRAGEC"/>
        <w:spacing w:before="0" w:after="0"/>
      </w:pPr>
    </w:p>
    <w:p w:rsidR="007E4295" w:rsidRDefault="007E4295" w:rsidP="0088277D">
      <w:pPr>
        <w:pStyle w:val="legenda-SIBRAGEC"/>
        <w:spacing w:before="0" w:after="0"/>
      </w:pPr>
    </w:p>
    <w:p w:rsidR="007E4295" w:rsidRDefault="007E4295" w:rsidP="0088277D">
      <w:pPr>
        <w:pStyle w:val="legenda-SIBRAGEC"/>
        <w:spacing w:before="0" w:after="0"/>
      </w:pPr>
    </w:p>
    <w:p w:rsidR="007E4295" w:rsidRDefault="007E4295" w:rsidP="0088277D">
      <w:pPr>
        <w:pStyle w:val="legenda-SIBRAGEC"/>
        <w:spacing w:before="0" w:after="0"/>
      </w:pPr>
    </w:p>
    <w:p w:rsidR="0088277D" w:rsidRDefault="00DE5E5D" w:rsidP="0088277D">
      <w:pPr>
        <w:pStyle w:val="legenda-SIBRAGEC"/>
        <w:spacing w:before="0" w:after="0"/>
        <w:rPr>
          <w:b w:val="0"/>
          <w:noProof/>
          <w:sz w:val="20"/>
          <w:szCs w:val="24"/>
        </w:rPr>
      </w:pPr>
      <w:r w:rsidRPr="00DE5E5D">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109.05pt;margin-top:35.25pt;width:192.7pt;height:29.7pt;z-index:251664384;mso-width-percent:400;mso-height-percent:200;mso-width-percent:400;mso-height-percent:200;mso-width-relative:margin;mso-height-relative:margin" filled="f" stroked="f">
            <v:textbox style="mso-fit-shape-to-text:t">
              <w:txbxContent>
                <w:p w:rsidR="007E4295" w:rsidRPr="00EE6BE8" w:rsidRDefault="007E4295">
                  <w:pPr>
                    <w:rPr>
                      <w:sz w:val="20"/>
                      <w:szCs w:val="20"/>
                      <w:lang w:val="pt-BR"/>
                    </w:rPr>
                  </w:pPr>
                  <w:r w:rsidRPr="00EE6BE8">
                    <w:rPr>
                      <w:sz w:val="20"/>
                      <w:szCs w:val="20"/>
                      <w:lang w:val="pt-BR"/>
                    </w:rPr>
                    <w:t>Fonte: autor (2019)</w:t>
                  </w:r>
                </w:p>
              </w:txbxContent>
            </v:textbox>
          </v:shape>
        </w:pict>
      </w:r>
      <w:r w:rsidR="0088277D">
        <w:br w:type="textWrapping" w:clear="all"/>
      </w:r>
      <w:r w:rsidR="0088277D" w:rsidRPr="000A6D18">
        <w:rPr>
          <w:noProof/>
          <w:sz w:val="20"/>
          <w:szCs w:val="24"/>
        </w:rPr>
        <w:t xml:space="preserve">Fonte: </w:t>
      </w:r>
      <w:r w:rsidR="0088277D" w:rsidRPr="000A6D18">
        <w:rPr>
          <w:b w:val="0"/>
          <w:noProof/>
          <w:sz w:val="20"/>
          <w:szCs w:val="24"/>
        </w:rPr>
        <w:t>autor (2019)</w:t>
      </w:r>
    </w:p>
    <w:p w:rsidR="0088277D" w:rsidRDefault="0088277D" w:rsidP="0088277D">
      <w:pPr>
        <w:pStyle w:val="Ttulo1"/>
        <w:ind w:left="714" w:hanging="357"/>
      </w:pPr>
      <w:r w:rsidRPr="0088277D">
        <w:t>M</w:t>
      </w:r>
      <w:r>
        <w:t>etodologia</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lastRenderedPageBreak/>
        <w:t xml:space="preserve">Neste trabalho, após contextualização do cenário de estudo e de sua importância, os alunos realizaram um levantamento de dados necessários a modelagem computacional do bem tombado. Nesta etapa, foram realizados processos de triangulação, medições com trena de fita e uma trena lazer para alcance de até 30m, modelo TLM100 STHT77410 da marca Stanley, precisão de </w:t>
      </w:r>
      <m:oMath>
        <m:r>
          <m:rPr>
            <m:sty m:val="p"/>
          </m:rPr>
          <w:rPr>
            <w:rFonts w:ascii="Cambria Math" w:hAnsi="Cambria Math" w:cstheme="minorHAnsi"/>
            <w:sz w:val="22"/>
            <w:szCs w:val="22"/>
          </w:rPr>
          <m:t>±</m:t>
        </m:r>
      </m:oMath>
      <w:r w:rsidRPr="0088277D">
        <w:rPr>
          <w:rFonts w:asciiTheme="minorHAnsi" w:hAnsiTheme="minorHAnsi" w:cstheme="minorHAnsi"/>
          <w:sz w:val="22"/>
          <w:szCs w:val="22"/>
        </w:rPr>
        <w:t xml:space="preserve">32mm, no intuito de obter maior precisão nas medidas.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A modelagem da edificação foi realizada diretamente na plataforma BIM (Building Information Modeling), através da versão estudante do software REVIT, disponível no website da Autodesk. Esta opção possibilitou representação da arquitetura tanto em formato 2D quanto em 3D, além de agilizar o detalhamento de cortes, elementos estruturais e elementos das instalações prediais.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Portanto, a prévia visualização dos condutos e caixas do sistema elétrico proposto, através da sua representação 3D dinâmica, possibilitou a verificação de sua interferência no cenário do patrimônio histórico, sendo possível analisar diversas possibilidades de traçado e arranjos das tubulações, e prever o seu impacto visual nas características originais da edificação. </w:t>
      </w:r>
    </w:p>
    <w:p w:rsidR="007E4295"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De acordo com o  manual de elaboração de projetos de preservação do patrimônio cultural, os projetos complementares relativos à instalações elétricas, deve compreender: “o conjunto de peças gráficas (desenhos), memoriais, especificações e relatórios, que visam definir e disciplinar a instalação de sistemas de recebimento, distribuição e utilização de energia elétrica em edificações” (BRASIL, 2005, p.56).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Este contexto de estudo é um grande desafio ao projetista, pois a rede deve ser imperceptível, removível, suprir os pontos de utilização de energia elétrica necessários ao novo uso e atender as prescrições das NBRs 5410/2004 - Instalações elétricas de baixa tensão e 13570/1996 - Instalações elétricas em locais de afluência de público - Requisitos específicos (ABNT, 2004; ABNT, 1996).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As orientações da NBR13570 foram propostas neste trabalho, pois trata-se de uma unidade de ensino com capacidade para afluência de público acima de 100 pessoas.</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Devido a nova condição como unidade de ensino, a iluminação dos ambientes deve atender aos requisitos normativos previstos na NBR 8995/2013 – Iluminação de ambientes de trabalho (ABNT, 2013) para a atividade fim. O estudo de retrofit luminotécnico foi desenvolvido do software Dialux. Em sua vasta biblioteca, foi possível selecionar uma luminária do tipo pendente para lâmpada tubular e detalhar o projeto considerando as interferências de pessoas e mobílias na quantificação e arranjo de luminárias. Não consideramos a influência de luz natural neste projeto, pois, de forma conservadora, projetamos a iluminação para um cenário crítico noturno.</w:t>
      </w:r>
    </w:p>
    <w:p w:rsid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Atualmente, as salas possuem um nível de iluminância abaixo do permitido por norma. Com utilização de um luxímetro, verificamos que as salas de aula possuem em média de 200lux no plano de tarefas. Desta forma, o retrofit em ambiente simulado previu um nível de 500lux para salas de aula. Os demais ambientes sofreram esta mesma intervenção e tiveram, em seus projetos, as iluminâncias de plano de trabalho atendendo ao novo uso, em conformidade normativa.</w:t>
      </w:r>
    </w:p>
    <w:p w:rsidR="0088277D" w:rsidRPr="0088277D" w:rsidRDefault="0088277D" w:rsidP="0088277D">
      <w:pPr>
        <w:pStyle w:val="corpodoartigo-SIBRAGEC"/>
        <w:rPr>
          <w:rFonts w:asciiTheme="minorHAnsi" w:hAnsiTheme="minorHAnsi" w:cstheme="minorHAnsi"/>
          <w:sz w:val="22"/>
          <w:szCs w:val="22"/>
        </w:rPr>
      </w:pPr>
    </w:p>
    <w:p w:rsidR="0088277D" w:rsidRPr="008E6016" w:rsidRDefault="0088277D" w:rsidP="0088277D">
      <w:pPr>
        <w:pStyle w:val="Ttulo1"/>
      </w:pPr>
      <w:r>
        <w:t>Desenvolvimento do projeto</w:t>
      </w:r>
    </w:p>
    <w:p w:rsidR="0088277D" w:rsidRPr="008E6016" w:rsidRDefault="0088277D" w:rsidP="0088277D">
      <w:pPr>
        <w:pStyle w:val="Ttulo1"/>
        <w:numPr>
          <w:ilvl w:val="1"/>
          <w:numId w:val="11"/>
        </w:numPr>
      </w:pPr>
      <w:r>
        <w:t>Estudo de carga e planejamento da instalação elétrica</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O planejamento de carga das instalações elétricas de uma edificação leva em consideração a demanda de cada ambiente, estando diretamente relacionadas com a atividade proposta. Neste trabalho o estudo de carga teve como ponto de partida o levantamento das cargas de iluminação, com base nos estudos de retrofit luminotécnico. Na área externa foram previstos refletores de iluminação de fachada e arandelas. </w:t>
      </w:r>
    </w:p>
    <w:p w:rsidR="0088277D" w:rsidRPr="0088277D" w:rsidRDefault="0088277D" w:rsidP="0088277D">
      <w:pPr>
        <w:pStyle w:val="corpodoartigo-SIBRAGEC"/>
        <w:rPr>
          <w:rFonts w:asciiTheme="minorHAnsi" w:hAnsiTheme="minorHAnsi" w:cstheme="minorHAnsi"/>
          <w:sz w:val="22"/>
          <w:szCs w:val="22"/>
        </w:rPr>
      </w:pPr>
      <w:r w:rsidRPr="0088277D">
        <w:rPr>
          <w:rFonts w:asciiTheme="minorHAnsi" w:hAnsiTheme="minorHAnsi" w:cstheme="minorHAnsi"/>
          <w:sz w:val="22"/>
          <w:szCs w:val="22"/>
        </w:rPr>
        <w:t xml:space="preserve">Na Figura 4 temos como exemplo o estudo da iluminação da sala do mestrado, onde podemos observar que a iluminância no plano de trabalho está em conformidade com a NBR8995, a área de tarefa é equivalente a área da sala, pois consideramos a possibilidade da movimentação de carteiras, ou seja, sem pontos fixos de </w:t>
      </w:r>
      <w:r w:rsidRPr="0088277D">
        <w:rPr>
          <w:rFonts w:asciiTheme="minorHAnsi" w:hAnsiTheme="minorHAnsi" w:cstheme="minorHAnsi"/>
          <w:sz w:val="22"/>
          <w:szCs w:val="22"/>
        </w:rPr>
        <w:lastRenderedPageBreak/>
        <w:t>trabalho, trabalhando a distribuição luminosa homogênea em todo espaço.</w:t>
      </w:r>
    </w:p>
    <w:p w:rsidR="0088277D" w:rsidRDefault="0088277D" w:rsidP="0088277D">
      <w:pPr>
        <w:pStyle w:val="corpodoartigo-SIBRAGEC"/>
        <w:rPr>
          <w:rFonts w:asciiTheme="minorHAnsi" w:hAnsiTheme="minorHAnsi" w:cstheme="minorHAnsi"/>
          <w:b/>
          <w:sz w:val="22"/>
          <w:szCs w:val="22"/>
        </w:rPr>
      </w:pPr>
      <w:r w:rsidRPr="0088277D">
        <w:rPr>
          <w:rFonts w:asciiTheme="minorHAnsi" w:hAnsiTheme="minorHAnsi" w:cstheme="minorHAnsi"/>
          <w:b/>
          <w:sz w:val="22"/>
          <w:szCs w:val="22"/>
        </w:rPr>
        <w:t xml:space="preserve">Figura 4 – Estudo de retrofit luminotécnico da sala de mestrado </w:t>
      </w:r>
    </w:p>
    <w:p w:rsidR="0088277D" w:rsidRDefault="0088277D" w:rsidP="0088277D">
      <w:pPr>
        <w:pStyle w:val="corpodoartigo-SIBRAGEC"/>
        <w:rPr>
          <w:rFonts w:asciiTheme="minorHAnsi" w:hAnsiTheme="minorHAnsi" w:cstheme="minorHAnsi"/>
          <w:b/>
          <w:sz w:val="22"/>
          <w:szCs w:val="22"/>
        </w:rPr>
      </w:pPr>
      <w:r>
        <w:rPr>
          <w:rFonts w:asciiTheme="minorHAnsi" w:hAnsiTheme="minorHAnsi" w:cstheme="minorHAnsi"/>
          <w:b/>
          <w:noProof/>
          <w:sz w:val="22"/>
          <w:szCs w:val="22"/>
        </w:rPr>
        <w:drawing>
          <wp:anchor distT="0" distB="0" distL="114300" distR="114300" simplePos="0" relativeHeight="251661312" behindDoc="0" locked="0" layoutInCell="1" allowOverlap="1">
            <wp:simplePos x="0" y="0"/>
            <wp:positionH relativeFrom="column">
              <wp:posOffset>266065</wp:posOffset>
            </wp:positionH>
            <wp:positionV relativeFrom="paragraph">
              <wp:posOffset>34290</wp:posOffset>
            </wp:positionV>
            <wp:extent cx="2379345" cy="1775460"/>
            <wp:effectExtent l="19050" t="0" r="1905" b="0"/>
            <wp:wrapThrough wrapText="bothSides">
              <wp:wrapPolygon edited="0">
                <wp:start x="-173" y="0"/>
                <wp:lineTo x="-173" y="21322"/>
                <wp:lineTo x="21617" y="21322"/>
                <wp:lineTo x="21617" y="0"/>
                <wp:lineTo x="-173" y="0"/>
              </wp:wrapPolygon>
            </wp:wrapThrough>
            <wp:docPr id="10"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la 1.jpg"/>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79345" cy="1775460"/>
                    </a:xfrm>
                    <a:prstGeom prst="rect">
                      <a:avLst/>
                    </a:prstGeom>
                  </pic:spPr>
                </pic:pic>
              </a:graphicData>
            </a:graphic>
          </wp:anchor>
        </w:drawing>
      </w:r>
    </w:p>
    <w:p w:rsidR="0088277D" w:rsidRDefault="0088277D" w:rsidP="0088277D">
      <w:pPr>
        <w:pStyle w:val="corpodoartigo-SIBRAGEC"/>
        <w:rPr>
          <w:rFonts w:asciiTheme="minorHAnsi" w:hAnsiTheme="minorHAnsi" w:cstheme="minorHAnsi"/>
          <w:b/>
          <w:sz w:val="22"/>
          <w:szCs w:val="22"/>
        </w:rPr>
      </w:pPr>
    </w:p>
    <w:p w:rsidR="0088277D" w:rsidRPr="0088277D" w:rsidRDefault="0088277D" w:rsidP="0088277D">
      <w:pPr>
        <w:pStyle w:val="corpodoartigo-SIBRAGEC"/>
        <w:rPr>
          <w:rFonts w:asciiTheme="minorHAnsi" w:hAnsiTheme="minorHAnsi" w:cstheme="minorHAnsi"/>
          <w:b/>
          <w:sz w:val="22"/>
          <w:szCs w:val="22"/>
        </w:rPr>
      </w:pPr>
    </w:p>
    <w:p w:rsidR="0088277D" w:rsidRPr="0088277D" w:rsidRDefault="0088277D" w:rsidP="0088277D">
      <w:pPr>
        <w:pStyle w:val="corpodoartigo-SIBRAGEC"/>
        <w:jc w:val="center"/>
        <w:rPr>
          <w:rFonts w:asciiTheme="minorHAnsi" w:hAnsiTheme="minorHAnsi" w:cstheme="minorHAnsi"/>
          <w:sz w:val="22"/>
          <w:szCs w:val="22"/>
        </w:rPr>
      </w:pPr>
      <w:r w:rsidRPr="0088277D">
        <w:rPr>
          <w:rFonts w:asciiTheme="minorHAnsi" w:hAnsiTheme="minorHAnsi" w:cstheme="minorHAnsi"/>
          <w:sz w:val="22"/>
          <w:szCs w:val="22"/>
        </w:rPr>
        <w:t>Fonte: autor (2019)</w:t>
      </w:r>
    </w:p>
    <w:p w:rsidR="0088277D" w:rsidRDefault="0088277D" w:rsidP="007E4295">
      <w:pPr>
        <w:pStyle w:val="corpodoartigo-SIBRAGEC"/>
        <w:rPr>
          <w:sz w:val="22"/>
          <w:szCs w:val="18"/>
        </w:rPr>
      </w:pPr>
      <w:r w:rsidRPr="0088277D">
        <w:rPr>
          <w:rFonts w:asciiTheme="minorHAnsi" w:hAnsiTheme="minorHAnsi" w:cstheme="minorHAnsi"/>
          <w:sz w:val="22"/>
          <w:szCs w:val="22"/>
        </w:rPr>
        <w:t>As tomadas de uso específico (TUE) foram quantificadas para atender as a cargas de aquecimento de água, ar condicionado e motores elétricos. No Quadro 1 é apresentado o quadro de previsão por setor, onde verificamos a totalização das cargas por tipo: Iluminação, TUG e TUE.</w:t>
      </w:r>
    </w:p>
    <w:p w:rsidR="0088277D" w:rsidRPr="00EE6BE8" w:rsidRDefault="0088277D" w:rsidP="00EE6BE8">
      <w:pPr>
        <w:pStyle w:val="legenda-SIBRAGEC"/>
        <w:spacing w:before="0" w:after="0" w:line="240" w:lineRule="auto"/>
        <w:rPr>
          <w:rFonts w:ascii="Calibri" w:hAnsi="Calibri" w:cs="Calibri"/>
          <w:b w:val="0"/>
          <w:sz w:val="20"/>
        </w:rPr>
      </w:pPr>
      <w:r w:rsidRPr="00EE6BE8">
        <w:rPr>
          <w:rFonts w:ascii="Calibri" w:hAnsi="Calibri" w:cs="Calibri"/>
          <w:b w:val="0"/>
          <w:sz w:val="20"/>
        </w:rPr>
        <w:t>Quadro 1 – Quadro de previsão de cargas</w:t>
      </w:r>
    </w:p>
    <w:tbl>
      <w:tblPr>
        <w:tblpPr w:leftFromText="141" w:rightFromText="141" w:vertAnchor="text" w:horzAnchor="margin" w:tblpY="26"/>
        <w:tblW w:w="7350" w:type="pct"/>
        <w:tblCellMar>
          <w:left w:w="70" w:type="dxa"/>
          <w:right w:w="70" w:type="dxa"/>
        </w:tblCellMar>
        <w:tblLook w:val="04A0"/>
      </w:tblPr>
      <w:tblGrid>
        <w:gridCol w:w="2042"/>
        <w:gridCol w:w="387"/>
        <w:gridCol w:w="634"/>
        <w:gridCol w:w="634"/>
        <w:gridCol w:w="510"/>
        <w:gridCol w:w="510"/>
        <w:gridCol w:w="510"/>
        <w:gridCol w:w="510"/>
        <w:gridCol w:w="1032"/>
      </w:tblGrid>
      <w:tr w:rsidR="007E4295" w:rsidRPr="00EE6BE8" w:rsidTr="007E4295">
        <w:trPr>
          <w:trHeight w:val="89"/>
        </w:trPr>
        <w:tc>
          <w:tcPr>
            <w:tcW w:w="1508" w:type="pct"/>
            <w:vMerge w:val="restart"/>
            <w:tcBorders>
              <w:top w:val="single" w:sz="12" w:space="0" w:color="auto"/>
              <w:left w:val="single" w:sz="12" w:space="0" w:color="auto"/>
              <w:bottom w:val="single" w:sz="4"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Setor</w:t>
            </w:r>
          </w:p>
        </w:tc>
        <w:tc>
          <w:tcPr>
            <w:tcW w:w="1598" w:type="pct"/>
            <w:gridSpan w:val="4"/>
            <w:tcBorders>
              <w:top w:val="single" w:sz="12" w:space="0" w:color="auto"/>
              <w:left w:val="single" w:sz="4" w:space="0" w:color="auto"/>
              <w:bottom w:val="single" w:sz="4"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Iluminação (VA)</w:t>
            </w:r>
          </w:p>
        </w:tc>
        <w:tc>
          <w:tcPr>
            <w:tcW w:w="1130" w:type="pct"/>
            <w:gridSpan w:val="3"/>
            <w:tcBorders>
              <w:top w:val="single" w:sz="12" w:space="0" w:color="auto"/>
              <w:left w:val="single" w:sz="4" w:space="0" w:color="auto"/>
              <w:bottom w:val="single" w:sz="4"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TUG (VA)</w:t>
            </w:r>
          </w:p>
        </w:tc>
        <w:tc>
          <w:tcPr>
            <w:tcW w:w="764" w:type="pct"/>
            <w:vMerge w:val="restart"/>
            <w:tcBorders>
              <w:top w:val="single" w:sz="12" w:space="0" w:color="auto"/>
              <w:left w:val="single" w:sz="4" w:space="0" w:color="auto"/>
              <w:bottom w:val="single" w:sz="4" w:space="0" w:color="auto"/>
              <w:right w:val="single" w:sz="12"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TUE (VA)</w:t>
            </w:r>
          </w:p>
        </w:tc>
      </w:tr>
      <w:tr w:rsidR="007E4295" w:rsidRPr="00EE6BE8" w:rsidTr="007E4295">
        <w:trPr>
          <w:trHeight w:val="89"/>
        </w:trPr>
        <w:tc>
          <w:tcPr>
            <w:tcW w:w="1508" w:type="pct"/>
            <w:vMerge/>
            <w:tcBorders>
              <w:top w:val="single" w:sz="4" w:space="0" w:color="auto"/>
              <w:left w:val="single" w:sz="12" w:space="0" w:color="auto"/>
              <w:bottom w:val="single" w:sz="12" w:space="0" w:color="auto"/>
              <w:right w:val="single" w:sz="4" w:space="0" w:color="auto"/>
            </w:tcBorders>
            <w:shd w:val="clear" w:color="auto" w:fill="CCCCCC"/>
            <w:vAlign w:val="center"/>
            <w:hideMark/>
          </w:tcPr>
          <w:p w:rsidR="007E4295" w:rsidRPr="00EE6BE8" w:rsidRDefault="007E4295" w:rsidP="00EE6BE8">
            <w:pPr>
              <w:spacing w:after="0" w:line="240" w:lineRule="auto"/>
              <w:rPr>
                <w:rFonts w:ascii="Calibri" w:hAnsi="Calibri" w:cs="Calibri"/>
                <w:color w:val="000000"/>
                <w:sz w:val="20"/>
                <w:szCs w:val="20"/>
              </w:rPr>
            </w:pPr>
          </w:p>
        </w:tc>
        <w:tc>
          <w:tcPr>
            <w:tcW w:w="286"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25</w:t>
            </w:r>
          </w:p>
        </w:tc>
        <w:tc>
          <w:tcPr>
            <w:tcW w:w="468"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2x16</w:t>
            </w:r>
          </w:p>
        </w:tc>
        <w:tc>
          <w:tcPr>
            <w:tcW w:w="468"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2x32</w:t>
            </w:r>
          </w:p>
        </w:tc>
        <w:tc>
          <w:tcPr>
            <w:tcW w:w="377"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100</w:t>
            </w:r>
          </w:p>
        </w:tc>
        <w:tc>
          <w:tcPr>
            <w:tcW w:w="377"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100</w:t>
            </w:r>
          </w:p>
        </w:tc>
        <w:tc>
          <w:tcPr>
            <w:tcW w:w="377"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200</w:t>
            </w:r>
          </w:p>
        </w:tc>
        <w:tc>
          <w:tcPr>
            <w:tcW w:w="377" w:type="pct"/>
            <w:tcBorders>
              <w:top w:val="single" w:sz="4" w:space="0" w:color="auto"/>
              <w:left w:val="single" w:sz="4" w:space="0" w:color="auto"/>
              <w:bottom w:val="single" w:sz="12" w:space="0" w:color="auto"/>
              <w:right w:val="single" w:sz="4" w:space="0" w:color="auto"/>
            </w:tcBorders>
            <w:shd w:val="clear" w:color="auto" w:fill="CCCCCC"/>
            <w:noWrap/>
            <w:vAlign w:val="center"/>
            <w:hideMark/>
          </w:tcPr>
          <w:p w:rsidR="007E4295" w:rsidRPr="00EE6BE8" w:rsidRDefault="007E4295" w:rsidP="00EE6BE8">
            <w:pPr>
              <w:spacing w:after="0" w:line="240" w:lineRule="auto"/>
              <w:jc w:val="center"/>
              <w:rPr>
                <w:rFonts w:ascii="Calibri" w:hAnsi="Calibri" w:cs="Calibri"/>
                <w:b/>
                <w:bCs/>
                <w:color w:val="000000"/>
                <w:sz w:val="20"/>
                <w:szCs w:val="20"/>
              </w:rPr>
            </w:pPr>
            <w:r w:rsidRPr="00EE6BE8">
              <w:rPr>
                <w:rFonts w:ascii="Calibri" w:hAnsi="Calibri" w:cs="Calibri"/>
                <w:b/>
                <w:bCs/>
                <w:color w:val="000000"/>
                <w:sz w:val="20"/>
                <w:szCs w:val="20"/>
              </w:rPr>
              <w:t>600</w:t>
            </w:r>
          </w:p>
        </w:tc>
        <w:tc>
          <w:tcPr>
            <w:tcW w:w="764" w:type="pct"/>
            <w:vMerge/>
            <w:tcBorders>
              <w:top w:val="single" w:sz="4" w:space="0" w:color="auto"/>
              <w:left w:val="single" w:sz="4" w:space="0" w:color="auto"/>
              <w:bottom w:val="single" w:sz="12" w:space="0" w:color="auto"/>
              <w:right w:val="single" w:sz="12" w:space="0" w:color="auto"/>
            </w:tcBorders>
            <w:shd w:val="clear" w:color="auto" w:fill="CCCCCC"/>
            <w:vAlign w:val="center"/>
            <w:hideMark/>
          </w:tcPr>
          <w:p w:rsidR="007E4295" w:rsidRPr="00EE6BE8" w:rsidRDefault="007E4295" w:rsidP="00EE6BE8">
            <w:pPr>
              <w:spacing w:after="0" w:line="240" w:lineRule="auto"/>
              <w:rPr>
                <w:rFonts w:ascii="Calibri" w:hAnsi="Calibri" w:cs="Calibri"/>
                <w:color w:val="000000"/>
                <w:sz w:val="20"/>
                <w:szCs w:val="20"/>
              </w:rPr>
            </w:pPr>
          </w:p>
        </w:tc>
      </w:tr>
      <w:tr w:rsidR="007E4295" w:rsidRPr="00EE6BE8" w:rsidTr="007E4295">
        <w:trPr>
          <w:trHeight w:val="89"/>
        </w:trPr>
        <w:tc>
          <w:tcPr>
            <w:tcW w:w="1508"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rPr>
                <w:rFonts w:ascii="Calibri" w:hAnsi="Calibri" w:cs="Calibri"/>
                <w:color w:val="000000"/>
                <w:sz w:val="20"/>
                <w:szCs w:val="20"/>
              </w:rPr>
            </w:pPr>
            <w:r w:rsidRPr="00EE6BE8">
              <w:rPr>
                <w:rFonts w:ascii="Calibri" w:hAnsi="Calibri" w:cs="Calibri"/>
                <w:color w:val="000000"/>
                <w:sz w:val="20"/>
                <w:szCs w:val="20"/>
              </w:rPr>
              <w:t>Administrativo</w:t>
            </w:r>
          </w:p>
        </w:tc>
        <w:tc>
          <w:tcPr>
            <w:tcW w:w="286"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4</w:t>
            </w:r>
          </w:p>
        </w:tc>
        <w:tc>
          <w:tcPr>
            <w:tcW w:w="468"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26</w:t>
            </w:r>
          </w:p>
        </w:tc>
        <w:tc>
          <w:tcPr>
            <w:tcW w:w="468"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2</w:t>
            </w:r>
          </w:p>
        </w:tc>
        <w:tc>
          <w:tcPr>
            <w:tcW w:w="377"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17</w:t>
            </w:r>
          </w:p>
        </w:tc>
        <w:tc>
          <w:tcPr>
            <w:tcW w:w="377" w:type="pct"/>
            <w:tcBorders>
              <w:top w:val="single" w:sz="12"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2</w:t>
            </w:r>
          </w:p>
        </w:tc>
        <w:tc>
          <w:tcPr>
            <w:tcW w:w="764" w:type="pct"/>
            <w:tcBorders>
              <w:top w:val="single" w:sz="12" w:space="0" w:color="auto"/>
              <w:left w:val="single" w:sz="4" w:space="0" w:color="auto"/>
              <w:bottom w:val="single" w:sz="4" w:space="0" w:color="auto"/>
              <w:right w:val="single" w:sz="12"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r>
      <w:tr w:rsidR="007E4295" w:rsidRPr="00EE6BE8" w:rsidTr="007E4295">
        <w:trPr>
          <w:trHeight w:val="89"/>
        </w:trPr>
        <w:tc>
          <w:tcPr>
            <w:tcW w:w="1508" w:type="pct"/>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rPr>
                <w:rFonts w:ascii="Calibri" w:hAnsi="Calibri" w:cs="Calibri"/>
                <w:color w:val="000000"/>
                <w:sz w:val="20"/>
                <w:szCs w:val="20"/>
              </w:rPr>
            </w:pPr>
            <w:r w:rsidRPr="00EE6BE8">
              <w:rPr>
                <w:rFonts w:ascii="Calibri" w:hAnsi="Calibri" w:cs="Calibri"/>
                <w:color w:val="000000"/>
                <w:sz w:val="20"/>
                <w:szCs w:val="20"/>
              </w:rPr>
              <w:t>Pedagógico</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68</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3</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2</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37</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3</w:t>
            </w:r>
          </w:p>
        </w:tc>
        <w:tc>
          <w:tcPr>
            <w:tcW w:w="764" w:type="pct"/>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10520</w:t>
            </w:r>
          </w:p>
        </w:tc>
      </w:tr>
      <w:tr w:rsidR="007E4295" w:rsidRPr="00EE6BE8" w:rsidTr="007E4295">
        <w:trPr>
          <w:trHeight w:val="89"/>
        </w:trPr>
        <w:tc>
          <w:tcPr>
            <w:tcW w:w="1508" w:type="pct"/>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rPr>
                <w:rFonts w:ascii="Calibri" w:hAnsi="Calibri" w:cs="Calibri"/>
                <w:color w:val="000000"/>
                <w:sz w:val="20"/>
                <w:szCs w:val="20"/>
              </w:rPr>
            </w:pPr>
            <w:r w:rsidRPr="00EE6BE8">
              <w:rPr>
                <w:rFonts w:ascii="Calibri" w:hAnsi="Calibri" w:cs="Calibri"/>
                <w:color w:val="000000"/>
                <w:sz w:val="20"/>
                <w:szCs w:val="20"/>
              </w:rPr>
              <w:t>Vivência</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17</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12</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9</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15</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764" w:type="pct"/>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1520</w:t>
            </w:r>
          </w:p>
        </w:tc>
      </w:tr>
      <w:tr w:rsidR="007E4295" w:rsidRPr="00EE6BE8" w:rsidTr="007E4295">
        <w:trPr>
          <w:trHeight w:val="89"/>
        </w:trPr>
        <w:tc>
          <w:tcPr>
            <w:tcW w:w="1508" w:type="pct"/>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rPr>
                <w:rFonts w:ascii="Calibri" w:hAnsi="Calibri" w:cs="Calibri"/>
                <w:color w:val="000000"/>
                <w:sz w:val="20"/>
                <w:szCs w:val="20"/>
              </w:rPr>
            </w:pPr>
            <w:r w:rsidRPr="00EE6BE8">
              <w:rPr>
                <w:rFonts w:ascii="Calibri" w:hAnsi="Calibri" w:cs="Calibri"/>
                <w:color w:val="000000"/>
                <w:sz w:val="20"/>
                <w:szCs w:val="20"/>
              </w:rPr>
              <w:t>Serviço</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4</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1</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5</w:t>
            </w:r>
          </w:p>
        </w:tc>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3</w:t>
            </w:r>
          </w:p>
        </w:tc>
        <w:tc>
          <w:tcPr>
            <w:tcW w:w="764" w:type="pct"/>
            <w:tcBorders>
              <w:top w:val="single" w:sz="4" w:space="0" w:color="auto"/>
              <w:left w:val="single" w:sz="4" w:space="0" w:color="auto"/>
              <w:bottom w:val="single" w:sz="4" w:space="0" w:color="auto"/>
              <w:right w:val="single" w:sz="12"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0</w:t>
            </w:r>
          </w:p>
        </w:tc>
      </w:tr>
      <w:tr w:rsidR="007E4295" w:rsidRPr="00EE6BE8" w:rsidTr="007E4295">
        <w:trPr>
          <w:trHeight w:val="89"/>
        </w:trPr>
        <w:tc>
          <w:tcPr>
            <w:tcW w:w="1508" w:type="pct"/>
            <w:tcBorders>
              <w:top w:val="single" w:sz="4" w:space="0" w:color="auto"/>
              <w:left w:val="single" w:sz="12" w:space="0" w:color="auto"/>
              <w:bottom w:val="single" w:sz="12" w:space="0" w:color="auto"/>
              <w:right w:val="single" w:sz="4" w:space="0" w:color="auto"/>
            </w:tcBorders>
            <w:shd w:val="clear" w:color="auto" w:fill="auto"/>
            <w:noWrap/>
            <w:vAlign w:val="center"/>
            <w:hideMark/>
          </w:tcPr>
          <w:p w:rsidR="007E4295" w:rsidRPr="00EE6BE8" w:rsidRDefault="007E4295" w:rsidP="00EE6BE8">
            <w:pPr>
              <w:spacing w:after="0" w:line="240" w:lineRule="auto"/>
              <w:rPr>
                <w:rFonts w:ascii="Calibri" w:hAnsi="Calibri" w:cs="Calibri"/>
                <w:color w:val="000000"/>
                <w:sz w:val="20"/>
                <w:szCs w:val="20"/>
              </w:rPr>
            </w:pPr>
            <w:r w:rsidRPr="00EE6BE8">
              <w:rPr>
                <w:rFonts w:ascii="Calibri" w:hAnsi="Calibri" w:cs="Calibri"/>
                <w:color w:val="000000"/>
                <w:sz w:val="20"/>
                <w:szCs w:val="20"/>
              </w:rPr>
              <w:t>TOTAL INSTALADO</w:t>
            </w:r>
          </w:p>
        </w:tc>
        <w:tc>
          <w:tcPr>
            <w:tcW w:w="3492" w:type="pct"/>
            <w:gridSpan w:val="8"/>
            <w:tcBorders>
              <w:top w:val="single" w:sz="4" w:space="0" w:color="auto"/>
              <w:left w:val="single" w:sz="4" w:space="0" w:color="auto"/>
              <w:bottom w:val="single" w:sz="12" w:space="0" w:color="auto"/>
              <w:right w:val="single" w:sz="12" w:space="0" w:color="auto"/>
            </w:tcBorders>
            <w:shd w:val="clear" w:color="auto" w:fill="auto"/>
            <w:noWrap/>
            <w:vAlign w:val="center"/>
            <w:hideMark/>
          </w:tcPr>
          <w:p w:rsidR="007E4295" w:rsidRPr="00EE6BE8" w:rsidRDefault="007E4295" w:rsidP="00EE6BE8">
            <w:pPr>
              <w:spacing w:after="0" w:line="240" w:lineRule="auto"/>
              <w:jc w:val="center"/>
              <w:rPr>
                <w:rFonts w:ascii="Calibri" w:hAnsi="Calibri" w:cs="Calibri"/>
                <w:color w:val="000000"/>
                <w:sz w:val="20"/>
                <w:szCs w:val="20"/>
              </w:rPr>
            </w:pPr>
            <w:r w:rsidRPr="00EE6BE8">
              <w:rPr>
                <w:rFonts w:ascii="Calibri" w:hAnsi="Calibri" w:cs="Calibri"/>
                <w:color w:val="000000"/>
                <w:sz w:val="20"/>
                <w:szCs w:val="20"/>
              </w:rPr>
              <w:t>35,87kVA</w:t>
            </w:r>
          </w:p>
        </w:tc>
      </w:tr>
    </w:tbl>
    <w:p w:rsidR="0088277D" w:rsidRPr="0088277D" w:rsidRDefault="0088277D" w:rsidP="0088277D">
      <w:pPr>
        <w:pStyle w:val="corpodoartigo-SIBRAGEC"/>
        <w:rPr>
          <w:rFonts w:asciiTheme="minorHAnsi" w:hAnsiTheme="minorHAnsi" w:cstheme="minorHAnsi"/>
          <w:sz w:val="22"/>
          <w:szCs w:val="22"/>
        </w:rPr>
      </w:pPr>
    </w:p>
    <w:p w:rsidR="007E4295" w:rsidRPr="007E4295" w:rsidRDefault="007E4295" w:rsidP="007E4295">
      <w:pPr>
        <w:pStyle w:val="corpodoartigo-SIBRAGEC"/>
        <w:rPr>
          <w:rFonts w:asciiTheme="minorHAnsi" w:hAnsiTheme="minorHAnsi" w:cstheme="minorHAnsi"/>
          <w:sz w:val="22"/>
          <w:szCs w:val="22"/>
        </w:rPr>
      </w:pPr>
      <w:r w:rsidRPr="007E4295">
        <w:rPr>
          <w:rFonts w:asciiTheme="minorHAnsi" w:hAnsiTheme="minorHAnsi" w:cstheme="minorHAnsi"/>
          <w:sz w:val="22"/>
          <w:szCs w:val="22"/>
        </w:rPr>
        <w:t>Com este acréscimo de pontos e consequente aumento de carga, totalizando 35,87kVA, torna-se necessária uma total adequação da instalação, como instalação de quadro geral, dois quadros parciais, distribuição dos pontos de utilização, divisão de circuitos e o traçado da rede de condutos.</w:t>
      </w:r>
    </w:p>
    <w:p w:rsidR="007E4295" w:rsidRPr="007E4295" w:rsidRDefault="007E4295" w:rsidP="007E4295">
      <w:pPr>
        <w:pStyle w:val="ttulo11-SIBRAGEC"/>
        <w:numPr>
          <w:ilvl w:val="1"/>
          <w:numId w:val="11"/>
        </w:numPr>
        <w:rPr>
          <w:rFonts w:ascii="Calibri" w:hAnsi="Calibri" w:cs="Calibri"/>
          <w:sz w:val="22"/>
          <w:szCs w:val="22"/>
        </w:rPr>
      </w:pPr>
      <w:r w:rsidRPr="007E4295">
        <w:rPr>
          <w:rFonts w:ascii="Calibri" w:hAnsi="Calibri" w:cs="Calibri"/>
          <w:sz w:val="22"/>
          <w:szCs w:val="22"/>
        </w:rPr>
        <w:t>Projeto de rede de condutos</w:t>
      </w:r>
    </w:p>
    <w:p w:rsidR="007E4295" w:rsidRPr="007E4295" w:rsidRDefault="007E4295" w:rsidP="007E4295">
      <w:pPr>
        <w:pStyle w:val="corpodoartigo-SIBRAGEC"/>
        <w:rPr>
          <w:rFonts w:asciiTheme="minorHAnsi" w:hAnsiTheme="minorHAnsi" w:cstheme="minorHAnsi"/>
          <w:sz w:val="22"/>
          <w:szCs w:val="22"/>
        </w:rPr>
      </w:pPr>
      <w:r w:rsidRPr="007E4295">
        <w:rPr>
          <w:rFonts w:asciiTheme="minorHAnsi" w:hAnsiTheme="minorHAnsi" w:cstheme="minorHAnsi"/>
          <w:sz w:val="22"/>
          <w:szCs w:val="22"/>
        </w:rPr>
        <w:t xml:space="preserve">Na distribuição de circuitos os pontos de iluminação e TUG foram alocados em circuitos distintos. Desta forma, temos como proposta a separação da rede em dois níveis: piso e forro. O plano superior, com condutos sobre o forro, foi totalmente destinado a distribuição dos circuitos de iluminação, enquanto o plano inferior, com condutos sob o piso de madeira, acomodou as </w:t>
      </w:r>
      <w:r w:rsidRPr="007E4295">
        <w:rPr>
          <w:rFonts w:asciiTheme="minorHAnsi" w:hAnsiTheme="minorHAnsi" w:cstheme="minorHAnsi"/>
          <w:sz w:val="22"/>
          <w:szCs w:val="22"/>
        </w:rPr>
        <w:lastRenderedPageBreak/>
        <w:t>tubulações exclusivas de circuitos de tomada e força e alimentador.</w:t>
      </w:r>
    </w:p>
    <w:p w:rsidR="007E4295" w:rsidRPr="007E4295" w:rsidRDefault="007E4295" w:rsidP="007E4295">
      <w:pPr>
        <w:pStyle w:val="corpodoartigo-SIBRAGEC"/>
        <w:rPr>
          <w:rFonts w:asciiTheme="minorHAnsi" w:hAnsiTheme="minorHAnsi" w:cstheme="minorHAnsi"/>
          <w:sz w:val="22"/>
          <w:szCs w:val="22"/>
        </w:rPr>
      </w:pPr>
      <w:r w:rsidRPr="007E4295">
        <w:rPr>
          <w:rFonts w:asciiTheme="minorHAnsi" w:hAnsiTheme="minorHAnsi" w:cstheme="minorHAnsi"/>
          <w:sz w:val="22"/>
          <w:szCs w:val="22"/>
        </w:rPr>
        <w:t xml:space="preserve">Na Figura 5 é apresentada uma perspectiva isométrica de um trecho da rede de condutos do pavimento térreo, onde a separação em sistemas distintos pode ser mais bem observada. Os circuitos terminais têm sua origem no quadro de luz e força. </w:t>
      </w:r>
    </w:p>
    <w:p w:rsidR="007E4295" w:rsidRDefault="007E4295" w:rsidP="007E4295">
      <w:pPr>
        <w:pStyle w:val="corpodoartigo-SIBRAGEC"/>
        <w:rPr>
          <w:rFonts w:asciiTheme="minorHAnsi" w:hAnsiTheme="minorHAnsi" w:cstheme="minorHAnsi"/>
          <w:sz w:val="22"/>
          <w:szCs w:val="22"/>
        </w:rPr>
      </w:pPr>
      <w:r w:rsidRPr="007E4295">
        <w:rPr>
          <w:rFonts w:asciiTheme="minorHAnsi" w:hAnsiTheme="minorHAnsi" w:cstheme="minorHAnsi"/>
          <w:sz w:val="22"/>
          <w:szCs w:val="22"/>
        </w:rPr>
        <w:t>A distribuição dos circuitos de iluminação é feita através eletrocalha superior percorrendo longitudinalmente a circulação principal, com derivações para alimentação das luminárias das salas através de redes de eletrodutos metálicos rígidos. A conexão elétrica com cada equipamento será realizada a partir de derivação em conduletes, localizados imediatamente cima de cada luminária. Facilitando manutenções e intervenções futuras.</w:t>
      </w:r>
    </w:p>
    <w:p w:rsidR="007E4295" w:rsidRDefault="007E4295" w:rsidP="007E4295">
      <w:pPr>
        <w:pStyle w:val="corpodoartigo-SIBRAGEC"/>
        <w:rPr>
          <w:rFonts w:asciiTheme="minorHAnsi" w:hAnsiTheme="minorHAnsi" w:cstheme="minorHAnsi"/>
          <w:sz w:val="22"/>
          <w:szCs w:val="22"/>
        </w:rPr>
      </w:pPr>
    </w:p>
    <w:p w:rsidR="007E4295" w:rsidRPr="007E4295" w:rsidRDefault="007E4295" w:rsidP="007E4295">
      <w:pPr>
        <w:pStyle w:val="corpodoartigo-SIBRAGEC"/>
        <w:rPr>
          <w:rFonts w:asciiTheme="minorHAnsi" w:hAnsiTheme="minorHAnsi" w:cstheme="minorHAnsi"/>
          <w:sz w:val="22"/>
          <w:szCs w:val="22"/>
        </w:rPr>
      </w:pPr>
      <w:r w:rsidRPr="007E4295">
        <w:rPr>
          <w:rFonts w:asciiTheme="minorHAnsi" w:hAnsiTheme="minorHAnsi" w:cstheme="minorHAnsi"/>
          <w:sz w:val="22"/>
          <w:szCs w:val="22"/>
        </w:rPr>
        <w:t>A distribuição dos circuitos de tomada e força é feita através de canaleta de piso, fixada abaixo do barrote de madeira, percorrendo toda extensão da circulação principal, com derivações em rede de eletrodutos para</w:t>
      </w:r>
      <w:r>
        <w:rPr>
          <w:rFonts w:asciiTheme="minorHAnsi" w:hAnsiTheme="minorHAnsi" w:cstheme="minorHAnsi"/>
          <w:sz w:val="22"/>
          <w:szCs w:val="22"/>
        </w:rPr>
        <w:t xml:space="preserve"> </w:t>
      </w:r>
      <w:r w:rsidRPr="007E4295">
        <w:rPr>
          <w:rFonts w:asciiTheme="minorHAnsi" w:hAnsiTheme="minorHAnsi" w:cstheme="minorHAnsi"/>
          <w:sz w:val="22"/>
          <w:szCs w:val="22"/>
        </w:rPr>
        <w:t>alimentação das TUGs nos ambientes. As caixas para fixação das tomadas de corrente serão aparentes (conduletes), mas de fácil reversibilidade.</w:t>
      </w:r>
    </w:p>
    <w:p w:rsidR="007E4295" w:rsidRDefault="007E4295" w:rsidP="007E4295">
      <w:pPr>
        <w:pStyle w:val="corpodoartigo-SIBRAGEC"/>
        <w:tabs>
          <w:tab w:val="left" w:pos="2685"/>
        </w:tabs>
        <w:spacing w:before="240"/>
        <w:jc w:val="center"/>
        <w:rPr>
          <w:b/>
          <w:bCs/>
          <w:sz w:val="22"/>
          <w:szCs w:val="18"/>
        </w:rPr>
      </w:pPr>
    </w:p>
    <w:p w:rsidR="00EE6BE8" w:rsidRDefault="00EE6BE8" w:rsidP="007E4295">
      <w:pPr>
        <w:pStyle w:val="corpodoartigo-SIBRAGEC"/>
        <w:tabs>
          <w:tab w:val="left" w:pos="2685"/>
        </w:tabs>
        <w:spacing w:before="240"/>
        <w:jc w:val="center"/>
        <w:rPr>
          <w:b/>
          <w:bCs/>
          <w:sz w:val="22"/>
          <w:szCs w:val="18"/>
        </w:rPr>
      </w:pPr>
    </w:p>
    <w:p w:rsidR="00EE6BE8" w:rsidRDefault="00EE6BE8" w:rsidP="007E4295">
      <w:pPr>
        <w:pStyle w:val="corpodoartigo-SIBRAGEC"/>
        <w:tabs>
          <w:tab w:val="left" w:pos="2685"/>
        </w:tabs>
        <w:spacing w:before="240"/>
        <w:jc w:val="center"/>
        <w:rPr>
          <w:b/>
          <w:bCs/>
          <w:sz w:val="22"/>
          <w:szCs w:val="18"/>
        </w:rPr>
      </w:pPr>
    </w:p>
    <w:p w:rsidR="007E4295" w:rsidRPr="00EE6BE8" w:rsidRDefault="007E4295" w:rsidP="00EE6BE8">
      <w:pPr>
        <w:pStyle w:val="corpodoartigo-SIBRAGEC"/>
        <w:tabs>
          <w:tab w:val="left" w:pos="2685"/>
        </w:tabs>
        <w:spacing w:after="0"/>
        <w:jc w:val="center"/>
        <w:rPr>
          <w:rFonts w:asciiTheme="minorHAnsi" w:hAnsiTheme="minorHAnsi" w:cstheme="minorHAnsi"/>
          <w:sz w:val="20"/>
        </w:rPr>
      </w:pPr>
      <w:r w:rsidRPr="00EE6BE8">
        <w:rPr>
          <w:rFonts w:asciiTheme="minorHAnsi" w:hAnsiTheme="minorHAnsi" w:cstheme="minorHAnsi"/>
          <w:bCs/>
          <w:sz w:val="20"/>
        </w:rPr>
        <w:t>Figura 5</w:t>
      </w:r>
      <w:r w:rsidRPr="00EE6BE8">
        <w:rPr>
          <w:rFonts w:asciiTheme="minorHAnsi" w:hAnsiTheme="minorHAnsi" w:cstheme="minorHAnsi"/>
          <w:bCs/>
          <w:color w:val="000000"/>
          <w:sz w:val="20"/>
        </w:rPr>
        <w:t xml:space="preserve"> </w:t>
      </w:r>
      <w:r w:rsidRPr="00EE6BE8">
        <w:rPr>
          <w:rFonts w:asciiTheme="minorHAnsi" w:hAnsiTheme="minorHAnsi" w:cstheme="minorHAnsi"/>
          <w:bCs/>
          <w:sz w:val="20"/>
        </w:rPr>
        <w:t>– Perspectiva isométrica parcial da rede de condutos</w:t>
      </w:r>
    </w:p>
    <w:p w:rsidR="0088277D" w:rsidRPr="00EE6BE8" w:rsidRDefault="007E4295" w:rsidP="00EE6BE8">
      <w:pPr>
        <w:pStyle w:val="corpodoartigo-SIBRAGEC"/>
        <w:spacing w:after="0"/>
        <w:jc w:val="center"/>
        <w:rPr>
          <w:rFonts w:asciiTheme="minorHAnsi" w:hAnsiTheme="minorHAnsi" w:cstheme="minorHAnsi"/>
          <w:sz w:val="20"/>
        </w:rPr>
      </w:pPr>
      <w:r w:rsidRPr="00EE6BE8">
        <w:rPr>
          <w:rFonts w:asciiTheme="minorHAnsi" w:hAnsiTheme="minorHAnsi" w:cstheme="minorHAnsi"/>
          <w:noProof/>
          <w:sz w:val="20"/>
        </w:rPr>
        <w:drawing>
          <wp:inline distT="0" distB="0" distL="0" distR="0">
            <wp:extent cx="2966648" cy="1655211"/>
            <wp:effectExtent l="19050" t="0" r="5152" b="0"/>
            <wp:docPr id="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3">
                              <a14:imgEffect>
                                <a14:brightnessContrast bright="4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036" t="13171" r="14215" b="13966"/>
                    <a:stretch/>
                  </pic:blipFill>
                  <pic:spPr bwMode="auto">
                    <a:xfrm>
                      <a:off x="0" y="0"/>
                      <a:ext cx="2990282" cy="1668397"/>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EE6BE8">
        <w:rPr>
          <w:rFonts w:asciiTheme="minorHAnsi" w:hAnsiTheme="minorHAnsi" w:cstheme="minorHAnsi"/>
          <w:sz w:val="20"/>
        </w:rPr>
        <w:br w:type="textWrapping" w:clear="all"/>
      </w:r>
      <w:r w:rsidRPr="00EE6BE8">
        <w:rPr>
          <w:rFonts w:asciiTheme="minorHAnsi" w:hAnsiTheme="minorHAnsi" w:cstheme="minorHAnsi"/>
          <w:noProof/>
          <w:sz w:val="20"/>
        </w:rPr>
        <w:t>Fonte: autor (2019)</w:t>
      </w:r>
    </w:p>
    <w:p w:rsidR="0088277D" w:rsidRDefault="0088277D" w:rsidP="00BC28DE"/>
    <w:p w:rsidR="007E4295" w:rsidRPr="00EE6BE8" w:rsidRDefault="007E4295" w:rsidP="00EE6BE8">
      <w:pPr>
        <w:pStyle w:val="corpodoartigo-SIBRAGEC"/>
        <w:tabs>
          <w:tab w:val="left" w:pos="2685"/>
        </w:tabs>
        <w:spacing w:after="0"/>
        <w:jc w:val="center"/>
        <w:rPr>
          <w:rFonts w:ascii="Calibri" w:hAnsi="Calibri" w:cs="Calibri"/>
          <w:sz w:val="20"/>
        </w:rPr>
      </w:pPr>
      <w:r w:rsidRPr="00EE6BE8">
        <w:rPr>
          <w:rFonts w:ascii="Calibri" w:hAnsi="Calibri" w:cs="Calibri"/>
          <w:bCs/>
          <w:sz w:val="20"/>
        </w:rPr>
        <w:lastRenderedPageBreak/>
        <w:t>Figura 6</w:t>
      </w:r>
      <w:r w:rsidRPr="00EE6BE8">
        <w:rPr>
          <w:rFonts w:ascii="Calibri" w:hAnsi="Calibri" w:cs="Calibri"/>
          <w:bCs/>
          <w:color w:val="000000"/>
          <w:sz w:val="20"/>
        </w:rPr>
        <w:t xml:space="preserve"> </w:t>
      </w:r>
      <w:r w:rsidRPr="00EE6BE8">
        <w:rPr>
          <w:rFonts w:ascii="Calibri" w:hAnsi="Calibri" w:cs="Calibri"/>
          <w:bCs/>
          <w:sz w:val="20"/>
        </w:rPr>
        <w:t xml:space="preserve">– Perspectiva renderizada da distribuição em calhas </w:t>
      </w:r>
    </w:p>
    <w:p w:rsidR="007E4295" w:rsidRPr="00EE6BE8" w:rsidRDefault="00DE5E5D" w:rsidP="00EE6BE8">
      <w:pPr>
        <w:pStyle w:val="corpodoartigo-SIBRAGEC"/>
        <w:spacing w:after="0"/>
        <w:rPr>
          <w:rFonts w:ascii="Calibri" w:hAnsi="Calibri" w:cs="Calibri"/>
          <w:sz w:val="20"/>
        </w:rPr>
      </w:pPr>
      <w:r>
        <w:rPr>
          <w:rFonts w:ascii="Calibri" w:hAnsi="Calibri" w:cs="Calibri"/>
          <w:noProof/>
          <w:sz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de Seta Reta 10" o:spid="_x0000_s1030" type="#_x0000_t34" style="position:absolute;left:0;text-align:left;margin-left:131.95pt;margin-top:6.75pt;width:25.55pt;height:14.9pt;rotation:180;z-index:251669504;visibility:visible;mso-wrap-style:square;mso-wrap-distance-left:9pt;mso-wrap-distance-top:0;mso-wrap-distance-right:9pt;mso-wrap-distance-bottom:0;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" adj="10779,-504918,-181085" strokecolor="black [3213]">
            <v:stroke endarrow="block"/>
          </v:shape>
        </w:pict>
      </w:r>
      <w:r>
        <w:rPr>
          <w:rFonts w:ascii="Calibri" w:hAnsi="Calibri" w:cs="Calibri"/>
          <w:noProof/>
          <w:sz w:val="20"/>
        </w:rPr>
        <w:pict>
          <v:shape id="Caixa de Texto 2" o:spid="_x0000_s1027" type="#_x0000_t202" style="position:absolute;left:0;text-align:left;margin-left:3.8pt;margin-top:6.75pt;width:91.85pt;height:67.8pt;z-index:25166643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">
            <v:textbox>
              <w:txbxContent>
                <w:p w:rsidR="007E4295" w:rsidRPr="006B3EEA" w:rsidRDefault="007E4295" w:rsidP="007E4295">
                  <w:pPr>
                    <w:rPr>
                      <w:rFonts w:ascii="Century Gothic" w:hAnsi="Century Gothic"/>
                      <w:sz w:val="16"/>
                      <w:szCs w:val="16"/>
                    </w:rPr>
                  </w:pPr>
                  <w:r w:rsidRPr="006B3EEA">
                    <w:rPr>
                      <w:rFonts w:ascii="Century Gothic" w:hAnsi="Century Gothic"/>
                      <w:sz w:val="16"/>
                      <w:szCs w:val="16"/>
                    </w:rPr>
                    <w:t>Calha sob piso fixada abaixo dos barrotes alimentando redes de eletrodutos do sistema de tomadas.</w:t>
                  </w:r>
                </w:p>
              </w:txbxContent>
            </v:textbox>
          </v:shape>
        </w:pict>
      </w:r>
      <w:r>
        <w:rPr>
          <w:rFonts w:ascii="Calibri" w:hAnsi="Calibri" w:cs="Calibri"/>
          <w:noProof/>
          <w:sz w:val="20"/>
        </w:rPr>
        <w:pict>
          <v:shape id="Conector de Seta Reta 6" o:spid="_x0000_s1028" type="#_x0000_t34" style="position:absolute;left:0;text-align:left;margin-left:57.15pt;margin-top:86.85pt;width:74.8pt;height:36.6pt;z-index:251667456;visibility:visible;mso-wrap-style:square;mso-height-percent:0;mso-wrap-distance-left:9pt;mso-wrap-distance-top:0;mso-wrap-distance-right:9pt;mso-wrap-distance-bottom:0;mso-position-horizontal-relative:text;mso-position-vertical-relative:text;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" adj="6454,-244033,-32876" strokecolor="black [3213]">
            <v:stroke endarrow="block"/>
          </v:shape>
        </w:pict>
      </w:r>
      <w:r>
        <w:rPr>
          <w:rFonts w:ascii="Calibri" w:hAnsi="Calibri" w:cs="Calibri"/>
          <w:noProof/>
          <w:sz w:val="20"/>
        </w:rPr>
        <w:pict>
          <v:shape id="_x0000_s1029" type="#_x0000_t202" style="position:absolute;left:0;text-align:left;margin-left:157.5pt;margin-top:13.15pt;width:89.7pt;height:62.05pt;z-index:25166848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">
            <v:textbox>
              <w:txbxContent>
                <w:p w:rsidR="007E4295" w:rsidRPr="007E4295" w:rsidRDefault="007E4295" w:rsidP="007E4295">
                  <w:pPr>
                    <w:rPr>
                      <w:rFonts w:ascii="Century Gothic" w:hAnsi="Century Gothic"/>
                      <w:sz w:val="16"/>
                      <w:szCs w:val="16"/>
                    </w:rPr>
                  </w:pPr>
                  <w:r w:rsidRPr="007E4295">
                    <w:rPr>
                      <w:rFonts w:ascii="Century Gothic" w:hAnsi="Century Gothic"/>
                      <w:sz w:val="16"/>
                      <w:szCs w:val="16"/>
                    </w:rPr>
                    <w:t>Calha sobre forro alimentando redes de eletrodutos do sistema de iluminação.</w:t>
                  </w:r>
                </w:p>
              </w:txbxContent>
            </v:textbox>
          </v:shape>
        </w:pict>
      </w:r>
      <w:r w:rsidR="007E4295" w:rsidRPr="00EE6BE8">
        <w:rPr>
          <w:rFonts w:ascii="Calibri" w:hAnsi="Calibri" w:cs="Calibri"/>
          <w:noProof/>
          <w:sz w:val="20"/>
        </w:rPr>
        <w:drawing>
          <wp:inline distT="0" distB="0" distL="0" distR="0">
            <wp:extent cx="3118923" cy="1754372"/>
            <wp:effectExtent l="19050" t="0" r="5277" b="0"/>
            <wp:docPr id="1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25">
                              <a14:imgEffect>
                                <a14:brightnessContrast bright="20000"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0533" cy="1760902"/>
                    </a:xfrm>
                    <a:prstGeom prst="rect">
                      <a:avLst/>
                    </a:prstGeom>
                    <a:noFill/>
                    <a:ln>
                      <a:noFill/>
                    </a:ln>
                  </pic:spPr>
                </pic:pic>
              </a:graphicData>
            </a:graphic>
          </wp:inline>
        </w:drawing>
      </w:r>
    </w:p>
    <w:p w:rsidR="007E4295" w:rsidRPr="00EE6BE8" w:rsidRDefault="007E4295" w:rsidP="00EE6BE8">
      <w:pPr>
        <w:pStyle w:val="legenda-SIBRAGEC"/>
        <w:spacing w:before="0" w:after="0" w:line="240" w:lineRule="auto"/>
        <w:rPr>
          <w:rFonts w:ascii="Calibri" w:hAnsi="Calibri" w:cs="Calibri"/>
          <w:b w:val="0"/>
          <w:sz w:val="20"/>
        </w:rPr>
      </w:pPr>
      <w:r w:rsidRPr="00EE6BE8">
        <w:rPr>
          <w:rFonts w:ascii="Calibri" w:hAnsi="Calibri" w:cs="Calibri"/>
          <w:b w:val="0"/>
          <w:noProof/>
          <w:sz w:val="20"/>
        </w:rPr>
        <w:t>Fonte: autor (2019)</w:t>
      </w:r>
    </w:p>
    <w:p w:rsidR="006B3EEA" w:rsidRPr="006B3EEA" w:rsidRDefault="006B3EEA" w:rsidP="006B3EEA">
      <w:pPr>
        <w:pStyle w:val="corpodoartigo-SIBRAGEC"/>
        <w:rPr>
          <w:rFonts w:asciiTheme="minorHAnsi" w:hAnsiTheme="minorHAnsi" w:cstheme="minorHAnsi"/>
          <w:sz w:val="22"/>
          <w:szCs w:val="22"/>
        </w:rPr>
      </w:pPr>
      <w:r w:rsidRPr="006B3EEA">
        <w:rPr>
          <w:rFonts w:asciiTheme="minorHAnsi" w:hAnsiTheme="minorHAnsi" w:cstheme="minorHAnsi"/>
          <w:sz w:val="22"/>
          <w:szCs w:val="22"/>
        </w:rPr>
        <w:t>Na Figura 6 é apresentada uma perspectiva renderizada da distribuição em calhas na circulação principal. As superfícies do forro e do piso ganharam aspecto de transparência para visualização dos condutos. Conforme esta previsão de cenário a intervenção da rede de condutos interfere minimamente no aspecto original, ficando visível apenas o quadro geral aparente. Esta análise foi realizada nos demais ambientes, onde também foi possível alimentar os pontos de utilização sem impacto visual significativo.</w:t>
      </w:r>
    </w:p>
    <w:p w:rsidR="006B3EEA" w:rsidRPr="006B3EEA" w:rsidRDefault="006B3EEA" w:rsidP="006B3EEA">
      <w:pPr>
        <w:pStyle w:val="corpodoartigo-SIBRAGEC"/>
        <w:rPr>
          <w:rFonts w:asciiTheme="minorHAnsi" w:hAnsiTheme="minorHAnsi" w:cstheme="minorHAnsi"/>
          <w:sz w:val="22"/>
          <w:szCs w:val="22"/>
        </w:rPr>
      </w:pPr>
      <w:r w:rsidRPr="006B3EEA">
        <w:rPr>
          <w:rFonts w:asciiTheme="minorHAnsi" w:hAnsiTheme="minorHAnsi" w:cstheme="minorHAnsi"/>
          <w:sz w:val="22"/>
          <w:szCs w:val="22"/>
        </w:rPr>
        <w:t xml:space="preserve">conclusões </w:t>
      </w:r>
    </w:p>
    <w:p w:rsidR="006B3EEA" w:rsidRPr="006B3EEA" w:rsidRDefault="006B3EEA" w:rsidP="006B3EEA">
      <w:pPr>
        <w:pStyle w:val="corpodoartigo-SIBRAGEC"/>
        <w:rPr>
          <w:rFonts w:asciiTheme="minorHAnsi" w:hAnsiTheme="minorHAnsi" w:cstheme="minorHAnsi"/>
          <w:sz w:val="22"/>
          <w:szCs w:val="22"/>
        </w:rPr>
      </w:pPr>
      <w:r w:rsidRPr="006B3EEA">
        <w:rPr>
          <w:rFonts w:asciiTheme="minorHAnsi" w:hAnsiTheme="minorHAnsi" w:cstheme="minorHAnsi"/>
          <w:sz w:val="22"/>
          <w:szCs w:val="22"/>
        </w:rPr>
        <w:t>Como complementação à proposta de reabilitação da Casa do Barão do Rio Branco, o projeto de retrofit luminotécnico e das instalações elétricas procurou contemplar as necessidades específicas inerentes ao uso que se propõe para o imóvel, sem perder de vista os critérios que regem as intervenções de restauração de edificações de valor histórico, bem como o atendimento às normas técnicas e de segurança.</w:t>
      </w:r>
    </w:p>
    <w:p w:rsidR="006B3EEA" w:rsidRPr="006B3EEA" w:rsidRDefault="006B3EEA" w:rsidP="006B3EEA">
      <w:pPr>
        <w:pStyle w:val="corpodoartigo-SIBRAGEC"/>
        <w:rPr>
          <w:rFonts w:asciiTheme="minorHAnsi" w:hAnsiTheme="minorHAnsi" w:cstheme="minorHAnsi"/>
          <w:sz w:val="22"/>
          <w:szCs w:val="22"/>
        </w:rPr>
      </w:pPr>
      <w:r w:rsidRPr="006B3EEA">
        <w:rPr>
          <w:rFonts w:asciiTheme="minorHAnsi" w:hAnsiTheme="minorHAnsi" w:cstheme="minorHAnsi"/>
          <w:sz w:val="22"/>
          <w:szCs w:val="22"/>
        </w:rPr>
        <w:t xml:space="preserve">Após análises realizadas no ambiente BIM, verificamos que o traçado da rede de condutos e alocação das caixas de passagem e derivação não interferiram de forma significativa, pois foi projetada em grande parte sobre forro e sob piso, estando visíveis apenas pequenos trechos de tubulação para conexão nos conduletes destinados às TUGs e TUEs. Os materiais selecionados proporcionam uma reversibilidade da instalação, pois os elementos da rede e as luminárias são facilmente removíveis. Desta forma, atendendo à preocupação da mínima intervenção possível no sistema construtivo da </w:t>
      </w:r>
      <w:r w:rsidRPr="006B3EEA">
        <w:rPr>
          <w:rFonts w:asciiTheme="minorHAnsi" w:hAnsiTheme="minorHAnsi" w:cstheme="minorHAnsi"/>
          <w:sz w:val="22"/>
          <w:szCs w:val="22"/>
        </w:rPr>
        <w:lastRenderedPageBreak/>
        <w:t>casa, respeitando as técnicas originais da edificação (Brandi, 2004).</w:t>
      </w:r>
    </w:p>
    <w:p w:rsidR="006B3EEA" w:rsidRPr="006B3EEA" w:rsidRDefault="006B3EEA" w:rsidP="006B3EEA">
      <w:pPr>
        <w:pStyle w:val="corpodoartigo-SIBRAGEC"/>
        <w:rPr>
          <w:rFonts w:asciiTheme="minorHAnsi" w:hAnsiTheme="minorHAnsi" w:cstheme="minorHAnsi"/>
          <w:sz w:val="22"/>
          <w:szCs w:val="22"/>
        </w:rPr>
      </w:pPr>
      <w:r w:rsidRPr="006B3EEA">
        <w:rPr>
          <w:rFonts w:asciiTheme="minorHAnsi" w:hAnsiTheme="minorHAnsi" w:cstheme="minorHAnsi"/>
          <w:sz w:val="22"/>
          <w:szCs w:val="22"/>
        </w:rPr>
        <w:t xml:space="preserve">Será uma oportunidade para a modernização das instalações, em termos de materiais, equipamentos e tecnologias que proporcionam maior rendimento, no sentido de melhor atender à crescente demanda de energia elétrica em todas as atividades contemporâneas inerentes da atividade proposta. </w:t>
      </w:r>
    </w:p>
    <w:p w:rsidR="0088277D" w:rsidRDefault="0088277D" w:rsidP="00BC28DE"/>
    <w:p w:rsidR="0088277D" w:rsidRDefault="0088277D" w:rsidP="00BC28DE"/>
    <w:p w:rsidR="00944219" w:rsidRDefault="00944219"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EE6BE8" w:rsidRDefault="00EE6BE8" w:rsidP="00BC28DE"/>
    <w:p w:rsidR="00944219" w:rsidRDefault="00944219" w:rsidP="00BC28DE">
      <w:bookmarkStart w:id="1" w:name="_GoBack"/>
      <w:bookmarkEnd w:id="1"/>
    </w:p>
    <w:p w:rsidR="00EE6BE8" w:rsidRDefault="00EE6BE8" w:rsidP="00BC28DE"/>
    <w:p w:rsidR="00EE6BE8" w:rsidRPr="00BC28DE" w:rsidRDefault="00EE6BE8" w:rsidP="00BC28DE"/>
    <w:sdt>
      <w:sdtPr>
        <w:rPr>
          <w:rFonts w:cstheme="minorBidi"/>
          <w:b w:val="0"/>
          <w:sz w:val="22"/>
          <w:szCs w:val="22"/>
          <w:lang w:val="es-ES"/>
        </w:rPr>
        <w:id w:val="-945624801"/>
        <w:docPartObj>
          <w:docPartGallery w:val="Bibliographies"/>
          <w:docPartUnique/>
        </w:docPartObj>
      </w:sdtPr>
      <w:sdtEndPr>
        <w:rPr>
          <w:lang w:val="es-CL"/>
        </w:rPr>
      </w:sdtEndPr>
      <w:sdtContent>
        <w:p w:rsidR="000242F2" w:rsidRPr="00BB4A30" w:rsidRDefault="000242F2">
          <w:pPr>
            <w:pStyle w:val="Ttulo1"/>
          </w:pPr>
          <w:r w:rsidRPr="00BB4A30">
            <w:t>Refer</w:t>
          </w:r>
          <w:r w:rsidR="00EE6BE8">
            <w:t>ê</w:t>
          </w:r>
          <w:r w:rsidRPr="00BB4A30">
            <w:t>ncias</w:t>
          </w:r>
        </w:p>
        <w:p w:rsidR="00893165" w:rsidRPr="00BB4A30" w:rsidRDefault="00893165" w:rsidP="00893165">
          <w:pPr>
            <w:pStyle w:val="Bibliografia"/>
            <w:rPr>
              <w:noProof/>
              <w:vanish/>
              <w:sz w:val="24"/>
              <w:szCs w:val="24"/>
            </w:rPr>
          </w:pPr>
          <w:r w:rsidRPr="00BB4A30">
            <w:rPr>
              <w:noProof/>
              <w:vanish/>
            </w:rPr>
            <w:t>x</w:t>
          </w:r>
        </w:p>
        <w:tbl>
          <w:tblPr>
            <w:tblW w:w="5000" w:type="pct"/>
            <w:tblCellSpacing w:w="15" w:type="dxa"/>
            <w:tblCellMar>
              <w:top w:w="15" w:type="dxa"/>
              <w:left w:w="15" w:type="dxa"/>
              <w:bottom w:w="15" w:type="dxa"/>
              <w:right w:w="15" w:type="dxa"/>
            </w:tblCellMar>
            <w:tblLook w:val="04A0"/>
          </w:tblPr>
          <w:tblGrid>
            <w:gridCol w:w="322"/>
            <w:gridCol w:w="4233"/>
          </w:tblGrid>
          <w:tr w:rsidR="00893165" w:rsidRPr="00BB4A30" w:rsidTr="00893165">
            <w:trPr>
              <w:tblCellSpacing w:w="15" w:type="dxa"/>
            </w:trPr>
            <w:tc>
              <w:tcPr>
                <w:tcW w:w="0" w:type="auto"/>
                <w:hideMark/>
              </w:tcPr>
              <w:p w:rsidR="00893165" w:rsidRPr="00BB4A30" w:rsidRDefault="005C0F03" w:rsidP="006B3EEA">
                <w:pPr>
                  <w:pStyle w:val="Bibliografia"/>
                  <w:jc w:val="right"/>
                  <w:rPr>
                    <w:noProof/>
                  </w:rPr>
                </w:pPr>
                <w:r w:rsidRPr="00BB4A30">
                  <w:rPr>
                    <w:noProof/>
                  </w:rPr>
                  <w:t>[</w:t>
                </w:r>
                <w:r w:rsidR="00893165" w:rsidRPr="00BB4A30">
                  <w:rPr>
                    <w:noProof/>
                  </w:rPr>
                  <w:t>1</w:t>
                </w:r>
                <w:r w:rsidR="006B3EEA">
                  <w:rPr>
                    <w:noProof/>
                  </w:rPr>
                  <w:t>]</w:t>
                </w:r>
              </w:p>
            </w:tc>
            <w:tc>
              <w:tcPr>
                <w:tcW w:w="0" w:type="auto"/>
                <w:hideMark/>
              </w:tcPr>
              <w:p w:rsidR="006B3EEA" w:rsidRPr="006B3EEA" w:rsidRDefault="006B3EEA" w:rsidP="006B3EEA">
                <w:pPr>
                  <w:pStyle w:val="Bibliografia"/>
                  <w:rPr>
                    <w:noProof/>
                  </w:rPr>
                </w:pPr>
                <w:r w:rsidRPr="006B3EEA">
                  <w:rPr>
                    <w:noProof/>
                  </w:rPr>
                  <w:t>ASSOCIAÇÃO BRASILEIRA DE NORMAS TÉCNICA. ABNT NBR5410. Instalações Elétricas de Baixa Tensão. Rio de Janeiro: ABNT, 2004.</w:t>
                </w:r>
              </w:p>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5C0F03">
                <w:pPr>
                  <w:pStyle w:val="Bibliografia"/>
                  <w:jc w:val="right"/>
                  <w:rPr>
                    <w:noProof/>
                  </w:rPr>
                </w:pPr>
                <w:r w:rsidRPr="00BB4A30">
                  <w:rPr>
                    <w:noProof/>
                  </w:rPr>
                  <w:t>[</w:t>
                </w:r>
                <w:r w:rsidR="00893165" w:rsidRPr="00BB4A30">
                  <w:rPr>
                    <w:noProof/>
                  </w:rPr>
                  <w:t>2</w:t>
                </w:r>
                <w:r w:rsidRPr="00BB4A30">
                  <w:rPr>
                    <w:noProof/>
                  </w:rPr>
                  <w:t>]</w:t>
                </w:r>
              </w:p>
            </w:tc>
            <w:tc>
              <w:tcPr>
                <w:tcW w:w="0" w:type="auto"/>
                <w:hideMark/>
              </w:tcPr>
              <w:p w:rsidR="006B3EEA" w:rsidRPr="006B3EEA" w:rsidRDefault="006B3EEA" w:rsidP="006B3EEA">
                <w:pPr>
                  <w:pStyle w:val="Bibliografia"/>
                  <w:rPr>
                    <w:noProof/>
                  </w:rPr>
                </w:pPr>
                <w:r w:rsidRPr="006B3EEA">
                  <w:rPr>
                    <w:noProof/>
                  </w:rPr>
                  <w:t>ASSOCIAÇÃO BRASILEIRA DE NORMAS TÉCNICA. ABNT NBR13570. Instalações Elétricas em Locais de Afluência de Público. Rio de Janeiro: ABNT, 1996.</w:t>
                </w:r>
              </w:p>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5C0F03" w:rsidP="006B3EEA">
                <w:pPr>
                  <w:pStyle w:val="Bibliografia"/>
                  <w:rPr>
                    <w:noProof/>
                  </w:rPr>
                </w:pPr>
                <w:r w:rsidRPr="00BB4A30">
                  <w:rPr>
                    <w:noProof/>
                  </w:rPr>
                  <w:t>[</w:t>
                </w:r>
                <w:r w:rsidR="00893165" w:rsidRPr="00BB4A30">
                  <w:rPr>
                    <w:noProof/>
                  </w:rPr>
                  <w:t>3</w:t>
                </w:r>
                <w:r w:rsidRPr="00BB4A30">
                  <w:rPr>
                    <w:noProof/>
                  </w:rPr>
                  <w:t>]</w:t>
                </w:r>
              </w:p>
            </w:tc>
            <w:tc>
              <w:tcPr>
                <w:tcW w:w="0" w:type="auto"/>
                <w:hideMark/>
              </w:tcPr>
              <w:p w:rsidR="006B3EEA" w:rsidRPr="006B3EEA" w:rsidRDefault="006B3EEA" w:rsidP="006B3EEA">
                <w:pPr>
                  <w:pStyle w:val="Bibliografia"/>
                  <w:rPr>
                    <w:noProof/>
                  </w:rPr>
                </w:pPr>
                <w:r>
                  <w:rPr>
                    <w:noProof/>
                  </w:rPr>
                  <w:t xml:space="preserve">ASSOCIAÇÃO BRASILEIRA DE NORMAS </w:t>
                </w:r>
                <w:r w:rsidRPr="006B3EEA">
                  <w:rPr>
                    <w:noProof/>
                  </w:rPr>
                  <w:t>TÉCNICA. ABNT NBR8995. Iluminação em ambientes de trabalho. Rio de Janeiro: ABNT, 2013.</w:t>
                </w:r>
              </w:p>
              <w:p w:rsidR="00893165" w:rsidRPr="00BB4A30" w:rsidRDefault="00893165" w:rsidP="006B3EEA">
                <w:pPr>
                  <w:pStyle w:val="Bibliografia"/>
                  <w:rPr>
                    <w:noProof/>
                  </w:rPr>
                </w:pPr>
              </w:p>
            </w:tc>
          </w:tr>
          <w:tr w:rsidR="00893165" w:rsidRPr="00BB4A30" w:rsidTr="00893165">
            <w:trPr>
              <w:tblCellSpacing w:w="15" w:type="dxa"/>
            </w:trPr>
            <w:tc>
              <w:tcPr>
                <w:tcW w:w="0" w:type="auto"/>
                <w:hideMark/>
              </w:tcPr>
              <w:p w:rsidR="00893165" w:rsidRPr="00BB4A30" w:rsidRDefault="005C0F03">
                <w:pPr>
                  <w:pStyle w:val="Bibliografia"/>
                  <w:jc w:val="right"/>
                  <w:rPr>
                    <w:noProof/>
                  </w:rPr>
                </w:pPr>
                <w:r w:rsidRPr="00BB4A30">
                  <w:rPr>
                    <w:noProof/>
                  </w:rPr>
                  <w:t>[</w:t>
                </w:r>
                <w:r w:rsidR="00893165" w:rsidRPr="00BB4A30">
                  <w:rPr>
                    <w:noProof/>
                  </w:rPr>
                  <w:t>4</w:t>
                </w:r>
                <w:r w:rsidRPr="00BB4A30">
                  <w:rPr>
                    <w:noProof/>
                  </w:rPr>
                  <w:t>]</w:t>
                </w:r>
              </w:p>
            </w:tc>
            <w:tc>
              <w:tcPr>
                <w:tcW w:w="0" w:type="auto"/>
                <w:hideMark/>
              </w:tcPr>
              <w:p w:rsidR="006B3EEA" w:rsidRPr="006B3EEA" w:rsidRDefault="006B3EEA" w:rsidP="006B3EEA">
                <w:pPr>
                  <w:pStyle w:val="Bibliografia"/>
                  <w:rPr>
                    <w:noProof/>
                  </w:rPr>
                </w:pPr>
                <w:r>
                  <w:rPr>
                    <w:noProof/>
                  </w:rPr>
                  <w:t xml:space="preserve">ASSOCIAÇÃO BRASILEIRA DE NORMAS </w:t>
                </w:r>
                <w:r w:rsidRPr="006B3EEA">
                  <w:rPr>
                    <w:noProof/>
                  </w:rPr>
                  <w:t>TÉCNICA. ABNT NBR9050. Acessibilidade a edificações, mobiliário, espaços e equipamentos urbanos: ABNT, 2015.</w:t>
                </w:r>
              </w:p>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5C0F03">
                <w:pPr>
                  <w:pStyle w:val="Bibliografia"/>
                  <w:jc w:val="right"/>
                  <w:rPr>
                    <w:noProof/>
                  </w:rPr>
                </w:pPr>
                <w:r w:rsidRPr="00BB4A30">
                  <w:rPr>
                    <w:noProof/>
                  </w:rPr>
                  <w:t>[</w:t>
                </w:r>
                <w:r w:rsidR="00893165" w:rsidRPr="00BB4A30">
                  <w:rPr>
                    <w:noProof/>
                  </w:rPr>
                  <w:t>5</w:t>
                </w:r>
                <w:r w:rsidR="00BB4A30" w:rsidRPr="00BB4A30">
                  <w:rPr>
                    <w:noProof/>
                  </w:rPr>
                  <w:t>]</w:t>
                </w:r>
              </w:p>
            </w:tc>
            <w:tc>
              <w:tcPr>
                <w:tcW w:w="0" w:type="auto"/>
                <w:hideMark/>
              </w:tcPr>
              <w:p w:rsidR="00893165" w:rsidRDefault="006B3EEA">
                <w:pPr>
                  <w:pStyle w:val="Bibliografia"/>
                  <w:rPr>
                    <w:noProof/>
                  </w:rPr>
                </w:pPr>
                <w:r w:rsidRPr="006B3EEA">
                  <w:rPr>
                    <w:noProof/>
                  </w:rPr>
                  <w:t xml:space="preserve">BRANDI, Cesare. Teoria da Restauração. Cotia, </w:t>
                </w:r>
                <w:r w:rsidRPr="006B3EEA">
                  <w:rPr>
                    <w:noProof/>
                  </w:rPr>
                  <w:lastRenderedPageBreak/>
                  <w:t>SP: Ateliê Editorial, 2004.</w:t>
                </w:r>
              </w:p>
              <w:p w:rsidR="006B3EEA" w:rsidRPr="006B3EEA" w:rsidRDefault="006B3EEA" w:rsidP="006B3EEA"/>
            </w:tc>
          </w:tr>
          <w:tr w:rsidR="00893165" w:rsidRPr="00BB4A30" w:rsidTr="00893165">
            <w:trPr>
              <w:tblCellSpacing w:w="15" w:type="dxa"/>
            </w:trPr>
            <w:tc>
              <w:tcPr>
                <w:tcW w:w="0" w:type="auto"/>
                <w:hideMark/>
              </w:tcPr>
              <w:p w:rsidR="00893165" w:rsidRPr="00BB4A30" w:rsidRDefault="005C0F03">
                <w:pPr>
                  <w:pStyle w:val="Bibliografia"/>
                  <w:jc w:val="right"/>
                  <w:rPr>
                    <w:noProof/>
                  </w:rPr>
                </w:pPr>
                <w:r w:rsidRPr="00BB4A30">
                  <w:rPr>
                    <w:noProof/>
                  </w:rPr>
                  <w:t>[</w:t>
                </w:r>
                <w:r w:rsidR="00893165" w:rsidRPr="00BB4A30">
                  <w:rPr>
                    <w:noProof/>
                  </w:rPr>
                  <w:t>6</w:t>
                </w:r>
                <w:r w:rsidR="00BB4A30" w:rsidRPr="00BB4A30">
                  <w:rPr>
                    <w:noProof/>
                  </w:rPr>
                  <w:t>]</w:t>
                </w:r>
              </w:p>
            </w:tc>
            <w:tc>
              <w:tcPr>
                <w:tcW w:w="0" w:type="auto"/>
                <w:hideMark/>
              </w:tcPr>
              <w:p w:rsidR="006B3EEA" w:rsidRPr="006B3EEA" w:rsidRDefault="006B3EEA" w:rsidP="006B3EEA">
                <w:pPr>
                  <w:pStyle w:val="Bibliografia"/>
                  <w:rPr>
                    <w:noProof/>
                  </w:rPr>
                </w:pPr>
                <w:r w:rsidRPr="006B3EEA">
                  <w:rPr>
                    <w:noProof/>
                  </w:rPr>
                  <w:t>BRASIL. Ministério da Cultura. Instituto do Programa Monumenta. Manual de elaboração de projetos de preservação do patrimônio cultural / Elaboração. José Hailon Gomide, Patrícia Reis da Silva, Sylvia Maria Nelo Braga. Brasília: Ministério da Cultura, Instituto do Programa Monumenta, 2005.</w:t>
                </w:r>
              </w:p>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5C0F03">
                <w:pPr>
                  <w:pStyle w:val="Bibliografia"/>
                  <w:jc w:val="right"/>
                  <w:rPr>
                    <w:noProof/>
                  </w:rPr>
                </w:pPr>
                <w:r w:rsidRPr="00BB4A30">
                  <w:rPr>
                    <w:noProof/>
                  </w:rPr>
                  <w:t>[</w:t>
                </w:r>
                <w:r w:rsidR="00893165" w:rsidRPr="00BB4A30">
                  <w:rPr>
                    <w:noProof/>
                  </w:rPr>
                  <w:t>7</w:t>
                </w:r>
                <w:r w:rsidR="00BB4A30" w:rsidRPr="00BB4A30">
                  <w:rPr>
                    <w:noProof/>
                  </w:rPr>
                  <w:t>]</w:t>
                </w:r>
              </w:p>
            </w:tc>
            <w:tc>
              <w:tcPr>
                <w:tcW w:w="0" w:type="auto"/>
                <w:hideMark/>
              </w:tcPr>
              <w:p w:rsidR="006B3EEA" w:rsidRPr="006B3EEA" w:rsidRDefault="006B3EEA" w:rsidP="006B3EEA">
                <w:pPr>
                  <w:pStyle w:val="Bibliografia"/>
                  <w:rPr>
                    <w:noProof/>
                  </w:rPr>
                </w:pPr>
                <w:r w:rsidRPr="006B3EEA">
                  <w:rPr>
                    <w:noProof/>
                  </w:rPr>
                  <w:t>FILHO, MAMEDE, João. Instalações Elétricas Industriais, 9ª edição. LTC, 03/2017.</w:t>
                </w:r>
              </w:p>
              <w:p w:rsidR="00893165" w:rsidRPr="00BB4A30" w:rsidRDefault="00893165">
                <w:pPr>
                  <w:pStyle w:val="Bibliografia"/>
                  <w:rPr>
                    <w:noProof/>
                  </w:rPr>
                </w:pPr>
              </w:p>
            </w:tc>
          </w:tr>
          <w:tr w:rsidR="00893165" w:rsidRPr="008F19DB"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8F19DB" w:rsidRDefault="00893165">
                <w:pPr>
                  <w:pStyle w:val="Bibliografia"/>
                  <w:rPr>
                    <w:noProof/>
                    <w:lang w:val="en-US"/>
                  </w:rPr>
                </w:pPr>
              </w:p>
            </w:tc>
          </w:tr>
          <w:tr w:rsidR="00893165" w:rsidRPr="008F19DB"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8F19DB" w:rsidRDefault="00893165">
                <w:pPr>
                  <w:pStyle w:val="Bibliografia"/>
                  <w:rPr>
                    <w:noProof/>
                    <w:lang w:val="en-US"/>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r w:rsidR="00893165" w:rsidRPr="00BB4A30" w:rsidTr="00893165">
            <w:trPr>
              <w:tblCellSpacing w:w="15" w:type="dxa"/>
            </w:trPr>
            <w:tc>
              <w:tcPr>
                <w:tcW w:w="0" w:type="auto"/>
                <w:hideMark/>
              </w:tcPr>
              <w:p w:rsidR="00893165" w:rsidRPr="00BB4A30" w:rsidRDefault="00893165">
                <w:pPr>
                  <w:pStyle w:val="Bibliografia"/>
                  <w:jc w:val="right"/>
                  <w:rPr>
                    <w:noProof/>
                  </w:rPr>
                </w:pPr>
              </w:p>
            </w:tc>
            <w:tc>
              <w:tcPr>
                <w:tcW w:w="0" w:type="auto"/>
                <w:hideMark/>
              </w:tcPr>
              <w:p w:rsidR="00893165" w:rsidRPr="00BB4A30" w:rsidRDefault="00893165">
                <w:pPr>
                  <w:pStyle w:val="Bibliografia"/>
                  <w:rPr>
                    <w:noProof/>
                  </w:rPr>
                </w:pPr>
              </w:p>
            </w:tc>
          </w:tr>
        </w:tbl>
        <w:p w:rsidR="00893165" w:rsidRPr="00BB4A30" w:rsidRDefault="00893165" w:rsidP="00893165">
          <w:pPr>
            <w:pStyle w:val="Bibliografia"/>
            <w:rPr>
              <w:rFonts w:eastAsiaTheme="minorEastAsia"/>
              <w:noProof/>
              <w:vanish/>
            </w:rPr>
          </w:pPr>
          <w:r w:rsidRPr="00BB4A30">
            <w:rPr>
              <w:noProof/>
              <w:vanish/>
            </w:rPr>
            <w:t>x</w:t>
          </w:r>
        </w:p>
        <w:p w:rsidR="000242F2" w:rsidRPr="00BB4A30" w:rsidRDefault="00DE5E5D" w:rsidP="00893165">
          <w:pPr>
            <w:pStyle w:val="Bibliografia"/>
          </w:pPr>
        </w:p>
      </w:sdtContent>
    </w:sdt>
    <w:p w:rsidR="009001E4" w:rsidRPr="00E12365" w:rsidRDefault="009001E4" w:rsidP="00212D37"/>
    <w:p w:rsidR="009001E4" w:rsidRPr="00E12365" w:rsidRDefault="009001E4" w:rsidP="00212D37"/>
    <w:p w:rsidR="009001E4" w:rsidRPr="00E12365" w:rsidRDefault="009001E4" w:rsidP="00212D37"/>
    <w:p w:rsidR="009001E4" w:rsidRPr="00E12365" w:rsidRDefault="009001E4" w:rsidP="00212D37"/>
    <w:p w:rsidR="00CE6C4B" w:rsidRPr="00E12365" w:rsidRDefault="00CE6C4B" w:rsidP="0074659F">
      <w:pPr>
        <w:spacing w:after="0"/>
        <w:rPr>
          <w:rFonts w:cstheme="minorHAnsi"/>
          <w:sz w:val="24"/>
          <w:szCs w:val="24"/>
        </w:rPr>
        <w:sectPr w:rsidR="00CE6C4B" w:rsidRPr="00E12365" w:rsidSect="00313E0C">
          <w:headerReference w:type="default" r:id="rId26"/>
          <w:footerReference w:type="default" r:id="rId27"/>
          <w:type w:val="continuous"/>
          <w:pgSz w:w="11906" w:h="16838"/>
          <w:pgMar w:top="1418" w:right="1134" w:bottom="851" w:left="1134" w:header="708" w:footer="708" w:gutter="0"/>
          <w:cols w:num="2" w:space="708"/>
          <w:docGrid w:linePitch="360"/>
        </w:sectPr>
      </w:pPr>
    </w:p>
    <w:p w:rsidR="00CE6C4B" w:rsidRPr="00E12365" w:rsidRDefault="00CE6C4B" w:rsidP="00893165">
      <w:pPr>
        <w:spacing w:after="0"/>
        <w:rPr>
          <w:rFonts w:cstheme="minorHAnsi"/>
          <w:sz w:val="24"/>
          <w:szCs w:val="24"/>
        </w:rPr>
      </w:pPr>
    </w:p>
    <w:sectPr w:rsidR="00CE6C4B" w:rsidRPr="00E12365" w:rsidSect="00CE6C4B">
      <w:type w:val="continuous"/>
      <w:pgSz w:w="11906" w:h="16838"/>
      <w:pgMar w:top="1418" w:right="1134"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295" w:rsidRDefault="007E4295" w:rsidP="009F19B7">
      <w:pPr>
        <w:spacing w:after="0" w:line="240" w:lineRule="auto"/>
      </w:pPr>
      <w:r>
        <w:separator/>
      </w:r>
    </w:p>
    <w:p w:rsidR="007E4295" w:rsidRDefault="007E4295"/>
    <w:p w:rsidR="007E4295" w:rsidRDefault="007E4295" w:rsidP="00267FFE"/>
    <w:p w:rsidR="007E4295" w:rsidRDefault="007E4295"/>
  </w:endnote>
  <w:endnote w:type="continuationSeparator" w:id="0">
    <w:p w:rsidR="007E4295" w:rsidRDefault="007E4295" w:rsidP="009F19B7">
      <w:pPr>
        <w:spacing w:after="0" w:line="240" w:lineRule="auto"/>
      </w:pPr>
      <w:r>
        <w:continuationSeparator/>
      </w:r>
    </w:p>
    <w:p w:rsidR="007E4295" w:rsidRDefault="007E4295"/>
    <w:p w:rsidR="007E4295" w:rsidRDefault="007E4295" w:rsidP="00267FFE"/>
    <w:p w:rsidR="007E4295" w:rsidRDefault="007E4295"/>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95" w:rsidRDefault="007E4295" w:rsidP="00D353EC">
    <w:pPr>
      <w:pStyle w:val="Cabealho"/>
      <w:jc w:val="center"/>
    </w:pPr>
    <w:r>
      <w:t>Revista Gestão e Gerenciamento nº 14 (2020)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138743"/>
      <w:docPartObj>
        <w:docPartGallery w:val="Page Numbers (Bottom of Page)"/>
        <w:docPartUnique/>
      </w:docPartObj>
    </w:sdtPr>
    <w:sdtContent>
      <w:p w:rsidR="007E4295" w:rsidRDefault="00DE5E5D">
        <w:pPr>
          <w:pStyle w:val="Rodap"/>
          <w:jc w:val="right"/>
        </w:pPr>
        <w:r>
          <w:rPr>
            <w:noProof/>
          </w:rPr>
          <w:fldChar w:fldCharType="begin"/>
        </w:r>
        <w:r w:rsidR="007E4295">
          <w:rPr>
            <w:noProof/>
          </w:rPr>
          <w:instrText>PAGE   \* MERGEFORMAT</w:instrText>
        </w:r>
        <w:r>
          <w:rPr>
            <w:noProof/>
          </w:rPr>
          <w:fldChar w:fldCharType="separate"/>
        </w:r>
        <w:r w:rsidR="00813D3B">
          <w:rPr>
            <w:noProof/>
          </w:rPr>
          <w:t>2</w:t>
        </w:r>
        <w:r>
          <w:rPr>
            <w:noProof/>
          </w:rPr>
          <w:fldChar w:fldCharType="end"/>
        </w:r>
      </w:p>
    </w:sdtContent>
  </w:sdt>
  <w:p w:rsidR="007E4295" w:rsidRDefault="007E4295">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95" w:rsidRDefault="007E4295" w:rsidP="00D353EC">
    <w:pPr>
      <w:pBdr>
        <w:bottom w:val="single" w:sz="6" w:space="1" w:color="auto"/>
      </w:pBdr>
      <w:rPr>
        <w:sz w:val="18"/>
        <w:szCs w:val="18"/>
      </w:rPr>
    </w:pPr>
  </w:p>
  <w:p w:rsidR="007E4295" w:rsidRDefault="007E4295" w:rsidP="00D353EC">
    <w:pPr>
      <w:pStyle w:val="Cabealho"/>
      <w:jc w:val="center"/>
    </w:pPr>
    <w:r>
      <w:t>Revista Gestão e Gerenciamento nº 14 (2020)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295" w:rsidRDefault="007E4295" w:rsidP="009F19B7">
      <w:pPr>
        <w:spacing w:after="0" w:line="240" w:lineRule="auto"/>
      </w:pPr>
      <w:r>
        <w:separator/>
      </w:r>
    </w:p>
    <w:p w:rsidR="007E4295" w:rsidRDefault="007E4295"/>
    <w:p w:rsidR="007E4295" w:rsidRDefault="007E4295" w:rsidP="00267FFE"/>
    <w:p w:rsidR="007E4295" w:rsidRDefault="007E4295"/>
  </w:footnote>
  <w:footnote w:type="continuationSeparator" w:id="0">
    <w:p w:rsidR="007E4295" w:rsidRDefault="007E4295" w:rsidP="009F19B7">
      <w:pPr>
        <w:spacing w:after="0" w:line="240" w:lineRule="auto"/>
      </w:pPr>
      <w:r>
        <w:continuationSeparator/>
      </w:r>
    </w:p>
    <w:p w:rsidR="007E4295" w:rsidRDefault="007E4295"/>
    <w:p w:rsidR="007E4295" w:rsidRDefault="007E4295" w:rsidP="00267FFE"/>
    <w:p w:rsidR="007E4295" w:rsidRDefault="007E4295"/>
  </w:footnote>
  <w:footnote w:id="1">
    <w:p w:rsidR="007E4295" w:rsidRPr="00EE6BE8" w:rsidRDefault="007E4295" w:rsidP="0088277D">
      <w:pPr>
        <w:pStyle w:val="Textodenotaderodap"/>
        <w:jc w:val="both"/>
        <w:rPr>
          <w:rFonts w:asciiTheme="minorHAnsi" w:hAnsiTheme="minorHAnsi" w:cstheme="minorHAnsi"/>
        </w:rPr>
      </w:pPr>
      <w:r w:rsidRPr="00EE6BE8">
        <w:rPr>
          <w:rFonts w:asciiTheme="minorHAnsi" w:hAnsiTheme="minorHAnsi" w:cstheme="minorHAnsi"/>
          <w:vertAlign w:val="superscript"/>
        </w:rPr>
        <w:footnoteRef/>
      </w:r>
      <w:r w:rsidRPr="00EE6BE8">
        <w:rPr>
          <w:rFonts w:asciiTheme="minorHAnsi" w:hAnsiTheme="minorHAnsi" w:cstheme="minorHAnsi"/>
        </w:rPr>
        <w:t xml:space="preserve"> Camillo Boito (1836 – 1915): Arquiteto, restaurador, escritor e historiador nascido em Roma. Defende o valor histórico e documental dos monumentos históricos, sendo um dos precursores dos conceitos de restauro que se consolidaram no século XX. </w:t>
      </w:r>
    </w:p>
  </w:footnote>
  <w:footnote w:id="2">
    <w:p w:rsidR="007E4295" w:rsidRDefault="007E4295" w:rsidP="0088277D">
      <w:pPr>
        <w:pStyle w:val="Textodenotaderodap"/>
        <w:jc w:val="both"/>
      </w:pPr>
      <w:r w:rsidRPr="00EE6BE8">
        <w:rPr>
          <w:rFonts w:asciiTheme="minorHAnsi" w:hAnsiTheme="minorHAnsi" w:cstheme="minorHAnsi"/>
          <w:vertAlign w:val="superscript"/>
        </w:rPr>
        <w:footnoteRef/>
      </w:r>
      <w:r w:rsidRPr="00EE6BE8">
        <w:rPr>
          <w:rFonts w:asciiTheme="minorHAnsi" w:hAnsiTheme="minorHAnsi" w:cstheme="minorHAnsi"/>
        </w:rPr>
        <w:t xml:space="preserve">  Cesare Brandi (1906 – 1988): Italiano nascido em Siena, formado em Direito e Ciências Humanas. Autor da obra Teoria do Restauro. Preconiza a Teoria do Restauro Crítico sob a ótica da fenomenologia.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730416"/>
      <w:docPartObj>
        <w:docPartGallery w:val="Page Numbers (Top of Page)"/>
        <w:docPartUnique/>
      </w:docPartObj>
    </w:sdtPr>
    <w:sdtContent>
      <w:p w:rsidR="007E4295" w:rsidRDefault="00DE5E5D">
        <w:pPr>
          <w:pStyle w:val="Cabealho"/>
          <w:jc w:val="right"/>
        </w:pPr>
        <w:r>
          <w:rPr>
            <w:noProof/>
          </w:rPr>
          <w:fldChar w:fldCharType="begin"/>
        </w:r>
        <w:r w:rsidR="007E4295">
          <w:rPr>
            <w:noProof/>
          </w:rPr>
          <w:instrText>PAGE   \* MERGEFORMAT</w:instrText>
        </w:r>
        <w:r>
          <w:rPr>
            <w:noProof/>
          </w:rPr>
          <w:fldChar w:fldCharType="separate"/>
        </w:r>
        <w:r w:rsidR="00813D3B">
          <w:rPr>
            <w:noProof/>
          </w:rPr>
          <w:t>1</w:t>
        </w:r>
        <w:r>
          <w:rPr>
            <w:noProof/>
          </w:rPr>
          <w:fldChar w:fldCharType="end"/>
        </w:r>
      </w:p>
    </w:sdtContent>
  </w:sdt>
  <w:p w:rsidR="007E4295" w:rsidRDefault="007E4295">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1297063"/>
      <w:docPartObj>
        <w:docPartGallery w:val="Page Numbers (Top of Page)"/>
        <w:docPartUnique/>
      </w:docPartObj>
    </w:sdtPr>
    <w:sdtContent>
      <w:p w:rsidR="007E4295" w:rsidRDefault="00DE5E5D">
        <w:pPr>
          <w:pStyle w:val="Cabealho"/>
          <w:jc w:val="right"/>
        </w:pPr>
        <w:r>
          <w:rPr>
            <w:noProof/>
          </w:rPr>
          <w:fldChar w:fldCharType="begin"/>
        </w:r>
        <w:r w:rsidR="007E4295">
          <w:rPr>
            <w:noProof/>
          </w:rPr>
          <w:instrText>PAGE   \* MERGEFORMAT</w:instrText>
        </w:r>
        <w:r>
          <w:rPr>
            <w:noProof/>
          </w:rPr>
          <w:fldChar w:fldCharType="separate"/>
        </w:r>
        <w:r w:rsidR="00813D3B">
          <w:rPr>
            <w:noProof/>
          </w:rPr>
          <w:t>4</w:t>
        </w:r>
        <w:r>
          <w:rPr>
            <w:noProof/>
          </w:rPr>
          <w:fldChar w:fldCharType="end"/>
        </w:r>
      </w:p>
    </w:sdtContent>
  </w:sdt>
  <w:p w:rsidR="007E4295" w:rsidRDefault="007E429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70599"/>
    <w:multiLevelType w:val="hybridMultilevel"/>
    <w:tmpl w:val="9B98B5DC"/>
    <w:lvl w:ilvl="0" w:tplc="6B9E293E">
      <w:start w:val="1"/>
      <w:numFmt w:val="decimal"/>
      <w:lvlText w:val="%1"/>
      <w:lvlJc w:val="left"/>
      <w:pPr>
        <w:ind w:left="644" w:hanging="360"/>
      </w:pPr>
      <w:rPr>
        <w:rFonts w:ascii="Century Gothic" w:eastAsia="Times New Roman" w:hAnsi="Century Gothic" w:cs="Times New Roman"/>
        <w:vertAlign w:val="superscrip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nsid w:val="0C652F8F"/>
    <w:multiLevelType w:val="hybridMultilevel"/>
    <w:tmpl w:val="12F0E1BA"/>
    <w:lvl w:ilvl="0" w:tplc="1F30F9EE">
      <w:start w:val="1"/>
      <w:numFmt w:val="decimal"/>
      <w:pStyle w:val="Ttulo1"/>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8D316D8"/>
    <w:multiLevelType w:val="multilevel"/>
    <w:tmpl w:val="2650393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9563BA6"/>
    <w:multiLevelType w:val="multilevel"/>
    <w:tmpl w:val="B5447F36"/>
    <w:lvl w:ilvl="0">
      <w:start w:val="1"/>
      <w:numFmt w:val="decimal"/>
      <w:pStyle w:val="ttulo1-SIBRAGEC"/>
      <w:lvlText w:val="%1"/>
      <w:lvlJc w:val="left"/>
      <w:pPr>
        <w:ind w:left="360" w:hanging="360"/>
      </w:pPr>
      <w:rPr>
        <w:rFonts w:hint="default"/>
      </w:rPr>
    </w:lvl>
    <w:lvl w:ilvl="1">
      <w:start w:val="1"/>
      <w:numFmt w:val="decimal"/>
      <w:pStyle w:val="Ttulo2"/>
      <w:lvlText w:val="%1.%2"/>
      <w:lvlJc w:val="left"/>
      <w:pPr>
        <w:ind w:left="786" w:hanging="360"/>
      </w:pPr>
      <w:rPr>
        <w:rFonts w:hint="default"/>
      </w:rPr>
    </w:lvl>
    <w:lvl w:ilvl="2">
      <w:start w:val="1"/>
      <w:numFmt w:val="decimal"/>
      <w:pStyle w:val="Ttulo3"/>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1C9E07C9"/>
    <w:multiLevelType w:val="multilevel"/>
    <w:tmpl w:val="C930D76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1D0F0666"/>
    <w:multiLevelType w:val="multilevel"/>
    <w:tmpl w:val="1AD24412"/>
    <w:lvl w:ilvl="0">
      <w:start w:val="1"/>
      <w:numFmt w:val="decimal"/>
      <w:pStyle w:val="Ttulo1SIBRAGEC"/>
      <w:lvlText w:val="%1."/>
      <w:lvlJc w:val="left"/>
      <w:pPr>
        <w:tabs>
          <w:tab w:val="num" w:pos="360"/>
        </w:tabs>
        <w:ind w:left="360" w:hanging="360"/>
      </w:pPr>
      <w:rPr>
        <w:rFonts w:hint="default"/>
      </w:rPr>
    </w:lvl>
    <w:lvl w:ilvl="1">
      <w:start w:val="1"/>
      <w:numFmt w:val="decimal"/>
      <w:pStyle w:val="Ttulo2SIBRAGEC"/>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53010B11"/>
    <w:multiLevelType w:val="multilevel"/>
    <w:tmpl w:val="7B10B5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417ED3"/>
    <w:multiLevelType w:val="hybridMultilevel"/>
    <w:tmpl w:val="91E20DD6"/>
    <w:lvl w:ilvl="0" w:tplc="E9F84CDA">
      <w:start w:val="1"/>
      <w:numFmt w:val="decimal"/>
      <w:lvlText w:val="1.%1.1"/>
      <w:lvlJc w:val="left"/>
      <w:pPr>
        <w:ind w:left="720" w:hanging="360"/>
      </w:pPr>
      <w:rPr>
        <w:rFonts w:hint="default"/>
      </w:rPr>
    </w:lvl>
    <w:lvl w:ilvl="1" w:tplc="A1744C88" w:tentative="1">
      <w:start w:val="1"/>
      <w:numFmt w:val="lowerLetter"/>
      <w:lvlText w:val="%2."/>
      <w:lvlJc w:val="left"/>
      <w:pPr>
        <w:ind w:left="1440" w:hanging="360"/>
      </w:pPr>
    </w:lvl>
    <w:lvl w:ilvl="2" w:tplc="6A2E0760" w:tentative="1">
      <w:start w:val="1"/>
      <w:numFmt w:val="lowerRoman"/>
      <w:lvlText w:val="%3."/>
      <w:lvlJc w:val="right"/>
      <w:pPr>
        <w:ind w:left="2160" w:hanging="180"/>
      </w:pPr>
    </w:lvl>
    <w:lvl w:ilvl="3" w:tplc="59B6F3F6" w:tentative="1">
      <w:start w:val="1"/>
      <w:numFmt w:val="decimal"/>
      <w:lvlText w:val="%4."/>
      <w:lvlJc w:val="left"/>
      <w:pPr>
        <w:ind w:left="2880" w:hanging="360"/>
      </w:pPr>
    </w:lvl>
    <w:lvl w:ilvl="4" w:tplc="B568FB6C" w:tentative="1">
      <w:start w:val="1"/>
      <w:numFmt w:val="lowerLetter"/>
      <w:lvlText w:val="%5."/>
      <w:lvlJc w:val="left"/>
      <w:pPr>
        <w:ind w:left="3600" w:hanging="360"/>
      </w:pPr>
    </w:lvl>
    <w:lvl w:ilvl="5" w:tplc="E430BEA0" w:tentative="1">
      <w:start w:val="1"/>
      <w:numFmt w:val="lowerRoman"/>
      <w:lvlText w:val="%6."/>
      <w:lvlJc w:val="right"/>
      <w:pPr>
        <w:ind w:left="4320" w:hanging="180"/>
      </w:pPr>
    </w:lvl>
    <w:lvl w:ilvl="6" w:tplc="7A9C3D1C" w:tentative="1">
      <w:start w:val="1"/>
      <w:numFmt w:val="decimal"/>
      <w:lvlText w:val="%7."/>
      <w:lvlJc w:val="left"/>
      <w:pPr>
        <w:ind w:left="5040" w:hanging="360"/>
      </w:pPr>
    </w:lvl>
    <w:lvl w:ilvl="7" w:tplc="E40403FE" w:tentative="1">
      <w:start w:val="1"/>
      <w:numFmt w:val="lowerLetter"/>
      <w:lvlText w:val="%8."/>
      <w:lvlJc w:val="left"/>
      <w:pPr>
        <w:ind w:left="5760" w:hanging="360"/>
      </w:pPr>
    </w:lvl>
    <w:lvl w:ilvl="8" w:tplc="6AF4952A"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2"/>
  </w:num>
  <w:num w:numId="10">
    <w:abstractNumId w:val="1"/>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12289">
      <o:colormenu v:ext="edit" fillcolor="none" strokecolor="none"/>
    </o:shapedefaults>
  </w:hdrShapeDefaults>
  <w:footnotePr>
    <w:footnote w:id="-1"/>
    <w:footnote w:id="0"/>
  </w:footnotePr>
  <w:endnotePr>
    <w:endnote w:id="-1"/>
    <w:endnote w:id="0"/>
  </w:endnotePr>
  <w:compat/>
  <w:rsids>
    <w:rsidRoot w:val="009F19B7"/>
    <w:rsid w:val="000242F2"/>
    <w:rsid w:val="000254FB"/>
    <w:rsid w:val="00037E83"/>
    <w:rsid w:val="00040B84"/>
    <w:rsid w:val="000519AD"/>
    <w:rsid w:val="00065397"/>
    <w:rsid w:val="00070E0B"/>
    <w:rsid w:val="0007651C"/>
    <w:rsid w:val="000861AD"/>
    <w:rsid w:val="000A39BB"/>
    <w:rsid w:val="000B6C13"/>
    <w:rsid w:val="000F1027"/>
    <w:rsid w:val="000F2391"/>
    <w:rsid w:val="000F2F5A"/>
    <w:rsid w:val="0010238D"/>
    <w:rsid w:val="00114AC0"/>
    <w:rsid w:val="0012419E"/>
    <w:rsid w:val="00127E60"/>
    <w:rsid w:val="00130139"/>
    <w:rsid w:val="001311DB"/>
    <w:rsid w:val="00132CE7"/>
    <w:rsid w:val="00135B31"/>
    <w:rsid w:val="001606E7"/>
    <w:rsid w:val="001E2BFE"/>
    <w:rsid w:val="001F1D37"/>
    <w:rsid w:val="001F2B1B"/>
    <w:rsid w:val="00201C4F"/>
    <w:rsid w:val="00204918"/>
    <w:rsid w:val="002057CA"/>
    <w:rsid w:val="0021284C"/>
    <w:rsid w:val="00212D37"/>
    <w:rsid w:val="00215DC5"/>
    <w:rsid w:val="002301DB"/>
    <w:rsid w:val="00232C13"/>
    <w:rsid w:val="00247C58"/>
    <w:rsid w:val="0025298B"/>
    <w:rsid w:val="0025634C"/>
    <w:rsid w:val="00264DDB"/>
    <w:rsid w:val="00267FFE"/>
    <w:rsid w:val="002740DB"/>
    <w:rsid w:val="00313E0C"/>
    <w:rsid w:val="00332686"/>
    <w:rsid w:val="003374AC"/>
    <w:rsid w:val="003531B1"/>
    <w:rsid w:val="00366996"/>
    <w:rsid w:val="00380981"/>
    <w:rsid w:val="00390775"/>
    <w:rsid w:val="0039760F"/>
    <w:rsid w:val="003B0E60"/>
    <w:rsid w:val="003B56BC"/>
    <w:rsid w:val="003B6CBF"/>
    <w:rsid w:val="003D11B9"/>
    <w:rsid w:val="003E2D59"/>
    <w:rsid w:val="003F426B"/>
    <w:rsid w:val="00406986"/>
    <w:rsid w:val="004230A5"/>
    <w:rsid w:val="0042312B"/>
    <w:rsid w:val="0044502D"/>
    <w:rsid w:val="00460D08"/>
    <w:rsid w:val="004669C0"/>
    <w:rsid w:val="0047019A"/>
    <w:rsid w:val="004803FC"/>
    <w:rsid w:val="004861F2"/>
    <w:rsid w:val="0049240C"/>
    <w:rsid w:val="004958D3"/>
    <w:rsid w:val="004A2693"/>
    <w:rsid w:val="004B2D9F"/>
    <w:rsid w:val="004B63F6"/>
    <w:rsid w:val="004D638E"/>
    <w:rsid w:val="00515542"/>
    <w:rsid w:val="005212E5"/>
    <w:rsid w:val="00540209"/>
    <w:rsid w:val="00552D1A"/>
    <w:rsid w:val="00571247"/>
    <w:rsid w:val="00583B2C"/>
    <w:rsid w:val="00584734"/>
    <w:rsid w:val="005C0F03"/>
    <w:rsid w:val="005D44C2"/>
    <w:rsid w:val="005E1538"/>
    <w:rsid w:val="005F19F1"/>
    <w:rsid w:val="005F5EF6"/>
    <w:rsid w:val="00605E90"/>
    <w:rsid w:val="00626191"/>
    <w:rsid w:val="006359CF"/>
    <w:rsid w:val="0065410B"/>
    <w:rsid w:val="00657E0A"/>
    <w:rsid w:val="00661301"/>
    <w:rsid w:val="00662466"/>
    <w:rsid w:val="006633CF"/>
    <w:rsid w:val="00665096"/>
    <w:rsid w:val="00665C19"/>
    <w:rsid w:val="006A4230"/>
    <w:rsid w:val="006B0F6E"/>
    <w:rsid w:val="006B3C93"/>
    <w:rsid w:val="006B3EEA"/>
    <w:rsid w:val="006C3D79"/>
    <w:rsid w:val="006C4B6B"/>
    <w:rsid w:val="006D793F"/>
    <w:rsid w:val="006F22A1"/>
    <w:rsid w:val="006F2B3D"/>
    <w:rsid w:val="007006A2"/>
    <w:rsid w:val="007152BC"/>
    <w:rsid w:val="0074659F"/>
    <w:rsid w:val="00753857"/>
    <w:rsid w:val="00764C57"/>
    <w:rsid w:val="0077692F"/>
    <w:rsid w:val="00780CBA"/>
    <w:rsid w:val="00782B24"/>
    <w:rsid w:val="007C2E59"/>
    <w:rsid w:val="007C3A1E"/>
    <w:rsid w:val="007D4084"/>
    <w:rsid w:val="007E3D61"/>
    <w:rsid w:val="007E4295"/>
    <w:rsid w:val="007F4B60"/>
    <w:rsid w:val="007F6F57"/>
    <w:rsid w:val="00813D3B"/>
    <w:rsid w:val="00844638"/>
    <w:rsid w:val="00866ED0"/>
    <w:rsid w:val="00876A6C"/>
    <w:rsid w:val="0088277D"/>
    <w:rsid w:val="008849AD"/>
    <w:rsid w:val="00893165"/>
    <w:rsid w:val="008A1773"/>
    <w:rsid w:val="008A198A"/>
    <w:rsid w:val="008A4531"/>
    <w:rsid w:val="008D1DB2"/>
    <w:rsid w:val="008D1EEB"/>
    <w:rsid w:val="008E4ADF"/>
    <w:rsid w:val="008F19DB"/>
    <w:rsid w:val="009001E4"/>
    <w:rsid w:val="00932450"/>
    <w:rsid w:val="00944219"/>
    <w:rsid w:val="00967BE8"/>
    <w:rsid w:val="00971EE8"/>
    <w:rsid w:val="00972122"/>
    <w:rsid w:val="00974E75"/>
    <w:rsid w:val="00977446"/>
    <w:rsid w:val="009777E6"/>
    <w:rsid w:val="00981749"/>
    <w:rsid w:val="009B4E75"/>
    <w:rsid w:val="009C3C1C"/>
    <w:rsid w:val="009F19B7"/>
    <w:rsid w:val="00A00BFA"/>
    <w:rsid w:val="00A030EC"/>
    <w:rsid w:val="00A07A90"/>
    <w:rsid w:val="00A12FA4"/>
    <w:rsid w:val="00A1456C"/>
    <w:rsid w:val="00A33FA1"/>
    <w:rsid w:val="00A42B51"/>
    <w:rsid w:val="00A549D6"/>
    <w:rsid w:val="00A96266"/>
    <w:rsid w:val="00AB530B"/>
    <w:rsid w:val="00AD0DFE"/>
    <w:rsid w:val="00AE00CE"/>
    <w:rsid w:val="00AE0A40"/>
    <w:rsid w:val="00AE0D38"/>
    <w:rsid w:val="00AE21CF"/>
    <w:rsid w:val="00AE6789"/>
    <w:rsid w:val="00B12F84"/>
    <w:rsid w:val="00B1311C"/>
    <w:rsid w:val="00B561C7"/>
    <w:rsid w:val="00B63AFB"/>
    <w:rsid w:val="00B725DD"/>
    <w:rsid w:val="00B73EC7"/>
    <w:rsid w:val="00B77581"/>
    <w:rsid w:val="00B80C7D"/>
    <w:rsid w:val="00B8255F"/>
    <w:rsid w:val="00B945C5"/>
    <w:rsid w:val="00BA6E0C"/>
    <w:rsid w:val="00BB0218"/>
    <w:rsid w:val="00BB4A30"/>
    <w:rsid w:val="00BC28DE"/>
    <w:rsid w:val="00BF0D59"/>
    <w:rsid w:val="00C069E8"/>
    <w:rsid w:val="00C101FB"/>
    <w:rsid w:val="00C30A04"/>
    <w:rsid w:val="00C30DBD"/>
    <w:rsid w:val="00C61FD9"/>
    <w:rsid w:val="00C717E4"/>
    <w:rsid w:val="00C72D65"/>
    <w:rsid w:val="00C74F7F"/>
    <w:rsid w:val="00C7567B"/>
    <w:rsid w:val="00C84FEB"/>
    <w:rsid w:val="00C86B06"/>
    <w:rsid w:val="00C92EFA"/>
    <w:rsid w:val="00CA576F"/>
    <w:rsid w:val="00CA7CD9"/>
    <w:rsid w:val="00CE6C4B"/>
    <w:rsid w:val="00CF11C2"/>
    <w:rsid w:val="00CF2B57"/>
    <w:rsid w:val="00D31805"/>
    <w:rsid w:val="00D32591"/>
    <w:rsid w:val="00D353EC"/>
    <w:rsid w:val="00D557A6"/>
    <w:rsid w:val="00D640F4"/>
    <w:rsid w:val="00D864E5"/>
    <w:rsid w:val="00D922E3"/>
    <w:rsid w:val="00DA1D00"/>
    <w:rsid w:val="00DB50D2"/>
    <w:rsid w:val="00DD2047"/>
    <w:rsid w:val="00DE5E5D"/>
    <w:rsid w:val="00DF139D"/>
    <w:rsid w:val="00E033DD"/>
    <w:rsid w:val="00E106F8"/>
    <w:rsid w:val="00E12365"/>
    <w:rsid w:val="00E2442E"/>
    <w:rsid w:val="00E44666"/>
    <w:rsid w:val="00E56D6D"/>
    <w:rsid w:val="00E831ED"/>
    <w:rsid w:val="00E94E5C"/>
    <w:rsid w:val="00E955B7"/>
    <w:rsid w:val="00EC2A60"/>
    <w:rsid w:val="00ED56A0"/>
    <w:rsid w:val="00EE6BE8"/>
    <w:rsid w:val="00EF5491"/>
    <w:rsid w:val="00F052CC"/>
    <w:rsid w:val="00F1392A"/>
    <w:rsid w:val="00F50107"/>
    <w:rsid w:val="00F670B5"/>
    <w:rsid w:val="00F9573C"/>
    <w:rsid w:val="00F966B8"/>
    <w:rsid w:val="00FA66F2"/>
    <w:rsid w:val="00FC6971"/>
    <w:rsid w:val="00FF640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colormenu v:ext="edit" fillcolor="none" strokecolor="none"/>
    </o:shapedefaults>
    <o:shapelayout v:ext="edit">
      <o:idmap v:ext="edit" data="1"/>
      <o:rules v:ext="edit">
        <o:r id="V:Rule3" type="connector" idref="#Conector de Seta Reta 6"/>
        <o:r id="V:Rule4" type="connector" idref="#Conector de Seta Reta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107"/>
    <w:rPr>
      <w:lang w:val="es-CL"/>
    </w:rPr>
  </w:style>
  <w:style w:type="paragraph" w:styleId="Ttulo1">
    <w:name w:val="heading 1"/>
    <w:basedOn w:val="PargrafodaLista"/>
    <w:next w:val="Normal"/>
    <w:link w:val="Ttulo1Char"/>
    <w:autoRedefine/>
    <w:uiPriority w:val="9"/>
    <w:qFormat/>
    <w:rsid w:val="004A2693"/>
    <w:pPr>
      <w:numPr>
        <w:numId w:val="1"/>
      </w:numPr>
      <w:spacing w:before="120" w:after="0" w:line="240" w:lineRule="auto"/>
      <w:contextualSpacing w:val="0"/>
      <w:outlineLvl w:val="0"/>
    </w:pPr>
    <w:rPr>
      <w:rFonts w:cstheme="minorHAnsi"/>
      <w:b/>
      <w:sz w:val="24"/>
      <w:szCs w:val="24"/>
    </w:rPr>
  </w:style>
  <w:style w:type="paragraph" w:styleId="Ttulo2">
    <w:name w:val="heading 2"/>
    <w:basedOn w:val="PargrafodaLista"/>
    <w:next w:val="Normal"/>
    <w:link w:val="Ttulo2Char"/>
    <w:autoRedefine/>
    <w:uiPriority w:val="9"/>
    <w:unhideWhenUsed/>
    <w:qFormat/>
    <w:rsid w:val="00661301"/>
    <w:pPr>
      <w:numPr>
        <w:ilvl w:val="1"/>
        <w:numId w:val="2"/>
      </w:numPr>
      <w:spacing w:before="120" w:after="0" w:line="240" w:lineRule="auto"/>
      <w:ind w:left="782" w:hanging="357"/>
      <w:contextualSpacing w:val="0"/>
      <w:jc w:val="both"/>
      <w:outlineLvl w:val="1"/>
    </w:pPr>
    <w:rPr>
      <w:rFonts w:cstheme="minorHAnsi"/>
      <w:b/>
      <w:sz w:val="24"/>
      <w:szCs w:val="24"/>
    </w:rPr>
  </w:style>
  <w:style w:type="paragraph" w:styleId="Ttulo3">
    <w:name w:val="heading 3"/>
    <w:basedOn w:val="Ttulo2"/>
    <w:next w:val="Normal"/>
    <w:link w:val="Ttulo3Char"/>
    <w:autoRedefine/>
    <w:unhideWhenUsed/>
    <w:qFormat/>
    <w:rsid w:val="005F5EF6"/>
    <w:pPr>
      <w:keepNext/>
      <w:keepLines/>
      <w:numPr>
        <w:ilvl w:val="2"/>
      </w:numPr>
      <w:ind w:left="782" w:hanging="357"/>
      <w:outlineLvl w:val="2"/>
    </w:pPr>
  </w:style>
  <w:style w:type="paragraph" w:styleId="Ttulo4">
    <w:name w:val="heading 4"/>
    <w:basedOn w:val="Normal"/>
    <w:next w:val="Normal"/>
    <w:link w:val="Ttulo4Char"/>
    <w:unhideWhenUsed/>
    <w:qFormat/>
    <w:rsid w:val="00866ED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88277D"/>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pt-BR" w:eastAsia="pt-BR"/>
    </w:rPr>
  </w:style>
  <w:style w:type="paragraph" w:styleId="Ttulo6">
    <w:name w:val="heading 6"/>
    <w:basedOn w:val="Normal"/>
    <w:next w:val="Normal"/>
    <w:link w:val="Ttulo6Char"/>
    <w:qFormat/>
    <w:rsid w:val="0088277D"/>
    <w:pPr>
      <w:tabs>
        <w:tab w:val="num" w:pos="1152"/>
      </w:tabs>
      <w:spacing w:before="240" w:after="60" w:line="240" w:lineRule="auto"/>
      <w:ind w:left="1152" w:hanging="1152"/>
      <w:outlineLvl w:val="5"/>
    </w:pPr>
    <w:rPr>
      <w:rFonts w:ascii="Times New Roman" w:eastAsia="Times New Roman" w:hAnsi="Times New Roman" w:cs="Times New Roman"/>
      <w:b/>
      <w:bCs/>
      <w:lang w:val="pt-BR" w:eastAsia="pt-BR"/>
    </w:rPr>
  </w:style>
  <w:style w:type="paragraph" w:styleId="Ttulo7">
    <w:name w:val="heading 7"/>
    <w:basedOn w:val="Normal"/>
    <w:next w:val="Normal"/>
    <w:link w:val="Ttulo7Char"/>
    <w:qFormat/>
    <w:rsid w:val="0088277D"/>
    <w:pPr>
      <w:tabs>
        <w:tab w:val="num" w:pos="1296"/>
      </w:tabs>
      <w:spacing w:before="240" w:after="60" w:line="240" w:lineRule="auto"/>
      <w:ind w:left="1296" w:hanging="1296"/>
      <w:outlineLvl w:val="6"/>
    </w:pPr>
    <w:rPr>
      <w:rFonts w:ascii="Times New Roman" w:eastAsia="Times New Roman" w:hAnsi="Times New Roman" w:cs="Times New Roman"/>
      <w:sz w:val="24"/>
      <w:szCs w:val="24"/>
      <w:lang w:val="pt-BR" w:eastAsia="pt-BR"/>
    </w:rPr>
  </w:style>
  <w:style w:type="paragraph" w:styleId="Ttulo8">
    <w:name w:val="heading 8"/>
    <w:basedOn w:val="Normal"/>
    <w:next w:val="Normal"/>
    <w:link w:val="Ttulo8Char"/>
    <w:qFormat/>
    <w:rsid w:val="0088277D"/>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pt-BR" w:eastAsia="pt-BR"/>
    </w:rPr>
  </w:style>
  <w:style w:type="paragraph" w:styleId="Ttulo9">
    <w:name w:val="heading 9"/>
    <w:basedOn w:val="Normal"/>
    <w:next w:val="Normal"/>
    <w:link w:val="Ttulo9Char"/>
    <w:qFormat/>
    <w:rsid w:val="0088277D"/>
    <w:pPr>
      <w:tabs>
        <w:tab w:val="num" w:pos="1584"/>
      </w:tabs>
      <w:spacing w:before="240" w:after="60" w:line="240" w:lineRule="auto"/>
      <w:ind w:left="1584" w:hanging="1584"/>
      <w:outlineLvl w:val="8"/>
    </w:pPr>
    <w:rPr>
      <w:rFonts w:ascii="Arial" w:eastAsia="Times New Roman" w:hAnsi="Arial" w:cs="Arial"/>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19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F19B7"/>
  </w:style>
  <w:style w:type="paragraph" w:styleId="Rodap">
    <w:name w:val="footer"/>
    <w:basedOn w:val="Normal"/>
    <w:link w:val="RodapChar"/>
    <w:uiPriority w:val="99"/>
    <w:unhideWhenUsed/>
    <w:rsid w:val="009F19B7"/>
    <w:pPr>
      <w:tabs>
        <w:tab w:val="center" w:pos="4252"/>
        <w:tab w:val="right" w:pos="8504"/>
      </w:tabs>
      <w:spacing w:after="0" w:line="240" w:lineRule="auto"/>
    </w:pPr>
  </w:style>
  <w:style w:type="character" w:customStyle="1" w:styleId="RodapChar">
    <w:name w:val="Rodapé Char"/>
    <w:basedOn w:val="Fontepargpadro"/>
    <w:link w:val="Rodap"/>
    <w:uiPriority w:val="99"/>
    <w:rsid w:val="009F19B7"/>
  </w:style>
  <w:style w:type="table" w:styleId="Tabelacomgrade">
    <w:name w:val="Table Grid"/>
    <w:basedOn w:val="Tabelanormal"/>
    <w:uiPriority w:val="39"/>
    <w:rsid w:val="000A39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13E0C"/>
    <w:pPr>
      <w:ind w:left="720"/>
      <w:contextualSpacing/>
    </w:pPr>
  </w:style>
  <w:style w:type="paragraph" w:styleId="Legenda">
    <w:name w:val="caption"/>
    <w:basedOn w:val="Normal"/>
    <w:next w:val="Normal"/>
    <w:uiPriority w:val="35"/>
    <w:qFormat/>
    <w:rsid w:val="000519AD"/>
    <w:pPr>
      <w:spacing w:before="120" w:after="120" w:line="240" w:lineRule="auto"/>
      <w:jc w:val="center"/>
    </w:pPr>
    <w:rPr>
      <w:rFonts w:ascii="Times New Roman" w:eastAsia="Times New Roman" w:hAnsi="Times New Roman" w:cs="Times New Roman"/>
      <w:lang w:val="it-IT" w:eastAsia="pt-BR"/>
    </w:rPr>
  </w:style>
  <w:style w:type="character" w:styleId="Refdecomentrio">
    <w:name w:val="annotation reference"/>
    <w:basedOn w:val="Fontepargpadro"/>
    <w:uiPriority w:val="99"/>
    <w:semiHidden/>
    <w:unhideWhenUsed/>
    <w:rsid w:val="000519AD"/>
    <w:rPr>
      <w:sz w:val="16"/>
      <w:szCs w:val="16"/>
    </w:rPr>
  </w:style>
  <w:style w:type="paragraph" w:styleId="Textodecomentrio">
    <w:name w:val="annotation text"/>
    <w:basedOn w:val="Normal"/>
    <w:link w:val="TextodecomentrioChar"/>
    <w:uiPriority w:val="99"/>
    <w:semiHidden/>
    <w:unhideWhenUsed/>
    <w:rsid w:val="000519AD"/>
    <w:pPr>
      <w:spacing w:after="200" w:line="240" w:lineRule="auto"/>
    </w:pPr>
    <w:rPr>
      <w:sz w:val="20"/>
      <w:szCs w:val="20"/>
    </w:rPr>
  </w:style>
  <w:style w:type="character" w:customStyle="1" w:styleId="TextodecomentrioChar">
    <w:name w:val="Texto de comentário Char"/>
    <w:basedOn w:val="Fontepargpadro"/>
    <w:link w:val="Textodecomentrio"/>
    <w:uiPriority w:val="99"/>
    <w:semiHidden/>
    <w:rsid w:val="000519AD"/>
    <w:rPr>
      <w:sz w:val="20"/>
      <w:szCs w:val="20"/>
    </w:rPr>
  </w:style>
  <w:style w:type="paragraph" w:styleId="Textodebalo">
    <w:name w:val="Balloon Text"/>
    <w:basedOn w:val="Normal"/>
    <w:link w:val="TextodebaloChar"/>
    <w:uiPriority w:val="99"/>
    <w:semiHidden/>
    <w:unhideWhenUsed/>
    <w:rsid w:val="000519A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519AD"/>
    <w:rPr>
      <w:rFonts w:ascii="Segoe UI" w:hAnsi="Segoe UI" w:cs="Segoe UI"/>
      <w:sz w:val="18"/>
      <w:szCs w:val="18"/>
    </w:rPr>
  </w:style>
  <w:style w:type="paragraph" w:customStyle="1" w:styleId="Autores">
    <w:name w:val="Autores"/>
    <w:basedOn w:val="Normal"/>
    <w:uiPriority w:val="99"/>
    <w:rsid w:val="000519AD"/>
    <w:pPr>
      <w:spacing w:after="0" w:line="240" w:lineRule="auto"/>
      <w:jc w:val="center"/>
    </w:pPr>
    <w:rPr>
      <w:rFonts w:ascii="Times New Roman" w:eastAsia="Times New Roman" w:hAnsi="Times New Roman" w:cs="Times New Roman"/>
      <w:b/>
      <w:bCs/>
      <w:sz w:val="20"/>
      <w:szCs w:val="20"/>
      <w:lang w:eastAsia="pt-BR"/>
    </w:rPr>
  </w:style>
  <w:style w:type="character" w:styleId="TextodoEspaoReservado">
    <w:name w:val="Placeholder Text"/>
    <w:basedOn w:val="Fontepargpadro"/>
    <w:uiPriority w:val="99"/>
    <w:semiHidden/>
    <w:rsid w:val="005D44C2"/>
    <w:rPr>
      <w:color w:val="808080"/>
    </w:rPr>
  </w:style>
  <w:style w:type="character" w:customStyle="1" w:styleId="Ttulo1Char">
    <w:name w:val="Título 1 Char"/>
    <w:basedOn w:val="Fontepargpadro"/>
    <w:link w:val="Ttulo1"/>
    <w:uiPriority w:val="9"/>
    <w:rsid w:val="004A2693"/>
    <w:rPr>
      <w:rFonts w:cstheme="minorHAnsi"/>
      <w:b/>
      <w:sz w:val="24"/>
      <w:szCs w:val="24"/>
      <w:lang w:val="es-CL"/>
    </w:rPr>
  </w:style>
  <w:style w:type="character" w:customStyle="1" w:styleId="Ttulo2Char">
    <w:name w:val="Título 2 Char"/>
    <w:basedOn w:val="Fontepargpadro"/>
    <w:link w:val="Ttulo2"/>
    <w:uiPriority w:val="9"/>
    <w:rsid w:val="00661301"/>
    <w:rPr>
      <w:rFonts w:cstheme="minorHAnsi"/>
      <w:b/>
      <w:sz w:val="24"/>
      <w:szCs w:val="24"/>
      <w:lang w:val="es-CL"/>
    </w:rPr>
  </w:style>
  <w:style w:type="character" w:customStyle="1" w:styleId="Ttulo3Char">
    <w:name w:val="Título 3 Char"/>
    <w:basedOn w:val="Fontepargpadro"/>
    <w:link w:val="Ttulo3"/>
    <w:uiPriority w:val="9"/>
    <w:rsid w:val="005F5EF6"/>
    <w:rPr>
      <w:rFonts w:cstheme="minorHAnsi"/>
      <w:b/>
      <w:sz w:val="24"/>
      <w:szCs w:val="24"/>
      <w:lang w:val="es-CL"/>
    </w:rPr>
  </w:style>
  <w:style w:type="paragraph" w:styleId="SemEspaamento">
    <w:name w:val="No Spacing"/>
    <w:aliases w:val="Resumen"/>
    <w:basedOn w:val="Normal"/>
    <w:uiPriority w:val="1"/>
    <w:qFormat/>
    <w:rsid w:val="00212D37"/>
    <w:pPr>
      <w:spacing w:before="240" w:after="0"/>
      <w:ind w:right="-29"/>
      <w:jc w:val="both"/>
    </w:pPr>
    <w:rPr>
      <w:rFonts w:cstheme="minorHAnsi"/>
      <w:i/>
    </w:rPr>
  </w:style>
  <w:style w:type="character" w:styleId="Forte">
    <w:name w:val="Strong"/>
    <w:aliases w:val="Tabla"/>
    <w:uiPriority w:val="22"/>
    <w:qFormat/>
    <w:rsid w:val="00CF2B57"/>
    <w:rPr>
      <w:rFonts w:asciiTheme="minorHAnsi" w:hAnsiTheme="minorHAnsi" w:cstheme="minorHAnsi"/>
      <w:sz w:val="22"/>
    </w:rPr>
  </w:style>
  <w:style w:type="paragraph" w:styleId="Subttulo">
    <w:name w:val="Subtitle"/>
    <w:aliases w:val="Normal Cuerpo"/>
    <w:basedOn w:val="Normal"/>
    <w:next w:val="Normal"/>
    <w:link w:val="SubttuloChar"/>
    <w:autoRedefine/>
    <w:uiPriority w:val="11"/>
    <w:qFormat/>
    <w:rsid w:val="00866ED0"/>
    <w:pPr>
      <w:spacing w:before="120" w:after="0" w:line="240" w:lineRule="auto"/>
      <w:ind w:firstLine="425"/>
      <w:jc w:val="both"/>
    </w:pPr>
    <w:rPr>
      <w:sz w:val="24"/>
      <w:szCs w:val="24"/>
    </w:rPr>
  </w:style>
  <w:style w:type="character" w:customStyle="1" w:styleId="SubttuloChar">
    <w:name w:val="Subtítulo Char"/>
    <w:aliases w:val="Normal Cuerpo Char"/>
    <w:basedOn w:val="Fontepargpadro"/>
    <w:link w:val="Subttulo"/>
    <w:uiPriority w:val="11"/>
    <w:rsid w:val="00866ED0"/>
    <w:rPr>
      <w:sz w:val="24"/>
      <w:szCs w:val="24"/>
      <w:lang w:val="es-CL"/>
    </w:rPr>
  </w:style>
  <w:style w:type="character" w:styleId="nfaseIntensa">
    <w:name w:val="Intense Emphasis"/>
    <w:aliases w:val="Figura"/>
    <w:uiPriority w:val="21"/>
    <w:qFormat/>
    <w:rsid w:val="00CF2B57"/>
    <w:rPr>
      <w:rFonts w:asciiTheme="minorHAnsi" w:hAnsiTheme="minorHAnsi" w:cstheme="minorHAnsi"/>
      <w:lang w:val="es-CL"/>
    </w:rPr>
  </w:style>
  <w:style w:type="paragraph" w:styleId="Bibliografia">
    <w:name w:val="Bibliography"/>
    <w:basedOn w:val="Normal"/>
    <w:next w:val="Normal"/>
    <w:uiPriority w:val="37"/>
    <w:unhideWhenUsed/>
    <w:rsid w:val="000242F2"/>
  </w:style>
  <w:style w:type="paragraph" w:customStyle="1" w:styleId="ecuaciones">
    <w:name w:val="ecuaciones"/>
    <w:basedOn w:val="Normal"/>
    <w:next w:val="Normal"/>
    <w:link w:val="ecuacionesCar"/>
    <w:qFormat/>
    <w:rsid w:val="00C84FEB"/>
    <w:pPr>
      <w:spacing w:after="0" w:line="360" w:lineRule="auto"/>
      <w:jc w:val="center"/>
    </w:pPr>
    <w:rPr>
      <w:rFonts w:ascii="Arial" w:hAnsi="Arial" w:cs="Arial"/>
      <w:noProof/>
      <w:color w:val="000000" w:themeColor="text1"/>
      <w:sz w:val="20"/>
      <w:szCs w:val="24"/>
      <w:lang w:eastAsia="es-ES"/>
    </w:rPr>
  </w:style>
  <w:style w:type="character" w:customStyle="1" w:styleId="ecuacionesCar">
    <w:name w:val="ecuaciones Car"/>
    <w:basedOn w:val="Fontepargpadro"/>
    <w:link w:val="ecuaciones"/>
    <w:rsid w:val="00C84FEB"/>
    <w:rPr>
      <w:rFonts w:ascii="Arial" w:hAnsi="Arial" w:cs="Arial"/>
      <w:noProof/>
      <w:color w:val="000000" w:themeColor="text1"/>
      <w:sz w:val="20"/>
      <w:szCs w:val="24"/>
      <w:lang w:val="es-CL" w:eastAsia="es-ES"/>
    </w:rPr>
  </w:style>
  <w:style w:type="character" w:customStyle="1" w:styleId="Ttulo4Char">
    <w:name w:val="Título 4 Char"/>
    <w:basedOn w:val="Fontepargpadro"/>
    <w:link w:val="Ttulo4"/>
    <w:uiPriority w:val="9"/>
    <w:semiHidden/>
    <w:rsid w:val="00866ED0"/>
    <w:rPr>
      <w:rFonts w:asciiTheme="majorHAnsi" w:eastAsiaTheme="majorEastAsia" w:hAnsiTheme="majorHAnsi" w:cstheme="majorBidi"/>
      <w:i/>
      <w:iCs/>
      <w:color w:val="2F5496" w:themeColor="accent1" w:themeShade="BF"/>
      <w:lang w:val="es-CL"/>
    </w:rPr>
  </w:style>
  <w:style w:type="paragraph" w:customStyle="1" w:styleId="Ttulodoartigo-SIBRAGEC">
    <w:name w:val="Título do artigo - SIBRAGEC"/>
    <w:basedOn w:val="Normal"/>
    <w:link w:val="Ttulodoartigo-SIBRAGECChar"/>
    <w:qFormat/>
    <w:rsid w:val="00571247"/>
    <w:pPr>
      <w:spacing w:after="120" w:line="240" w:lineRule="auto"/>
      <w:jc w:val="center"/>
    </w:pPr>
    <w:rPr>
      <w:rFonts w:ascii="Century Gothic" w:eastAsia="Times New Roman" w:hAnsi="Century Gothic" w:cs="Times New Roman"/>
      <w:b/>
      <w:caps/>
      <w:sz w:val="28"/>
      <w:szCs w:val="20"/>
      <w:lang w:val="pt-BR" w:eastAsia="pt-BR"/>
    </w:rPr>
  </w:style>
  <w:style w:type="character" w:customStyle="1" w:styleId="Ttulodoartigo-SIBRAGECChar">
    <w:name w:val="Título do artigo - SIBRAGEC Char"/>
    <w:link w:val="Ttulodoartigo-SIBRAGEC"/>
    <w:rsid w:val="00571247"/>
    <w:rPr>
      <w:rFonts w:ascii="Century Gothic" w:eastAsia="Times New Roman" w:hAnsi="Century Gothic" w:cs="Times New Roman"/>
      <w:b/>
      <w:caps/>
      <w:sz w:val="28"/>
      <w:szCs w:val="20"/>
      <w:lang w:eastAsia="pt-BR"/>
    </w:rPr>
  </w:style>
  <w:style w:type="paragraph" w:customStyle="1" w:styleId="autores-SIBRAGEC">
    <w:name w:val="autores - SIBRAGEC"/>
    <w:basedOn w:val="Autores"/>
    <w:link w:val="autores-SIBRAGECChar"/>
    <w:qFormat/>
    <w:rsid w:val="00571247"/>
    <w:pPr>
      <w:suppressAutoHyphens/>
    </w:pPr>
    <w:rPr>
      <w:rFonts w:ascii="Century Gothic" w:hAnsi="Century Gothic"/>
      <w:bCs w:val="0"/>
      <w:sz w:val="24"/>
      <w:lang w:val="en-US" w:eastAsia="ar-SA"/>
    </w:rPr>
  </w:style>
  <w:style w:type="character" w:customStyle="1" w:styleId="autores-SIBRAGECChar">
    <w:name w:val="autores - SIBRAGEC Char"/>
    <w:link w:val="autores-SIBRAGEC"/>
    <w:rsid w:val="00571247"/>
    <w:rPr>
      <w:rFonts w:ascii="Century Gothic" w:eastAsia="Times New Roman" w:hAnsi="Century Gothic" w:cs="Times New Roman"/>
      <w:b/>
      <w:sz w:val="24"/>
      <w:szCs w:val="20"/>
      <w:lang w:val="en-US" w:eastAsia="ar-SA"/>
    </w:rPr>
  </w:style>
  <w:style w:type="character" w:styleId="Hyperlink">
    <w:name w:val="Hyperlink"/>
    <w:rsid w:val="00571247"/>
    <w:rPr>
      <w:color w:val="0000FF"/>
      <w:u w:val="single"/>
    </w:rPr>
  </w:style>
  <w:style w:type="paragraph" w:customStyle="1" w:styleId="contatos-SIBRAGEC">
    <w:name w:val="contatos - SIBRAGEC"/>
    <w:basedOn w:val="Autores"/>
    <w:link w:val="contatos-SIBRAGECChar"/>
    <w:qFormat/>
    <w:rsid w:val="00571247"/>
    <w:pPr>
      <w:suppressAutoHyphens/>
    </w:pPr>
    <w:rPr>
      <w:rFonts w:ascii="Century Gothic" w:hAnsi="Century Gothic"/>
      <w:b w:val="0"/>
      <w:bCs w:val="0"/>
      <w:sz w:val="24"/>
      <w:lang w:val="en-US" w:eastAsia="ar-SA"/>
    </w:rPr>
  </w:style>
  <w:style w:type="character" w:customStyle="1" w:styleId="contatos-SIBRAGECChar">
    <w:name w:val="contatos - SIBRAGEC Char"/>
    <w:link w:val="contatos-SIBRAGEC"/>
    <w:rsid w:val="00571247"/>
    <w:rPr>
      <w:rFonts w:ascii="Century Gothic" w:eastAsia="Times New Roman" w:hAnsi="Century Gothic" w:cs="Times New Roman"/>
      <w:sz w:val="24"/>
      <w:szCs w:val="20"/>
      <w:lang w:val="en-US" w:eastAsia="ar-SA"/>
    </w:rPr>
  </w:style>
  <w:style w:type="paragraph" w:customStyle="1" w:styleId="corpodoresumo-SIBRAGEC">
    <w:name w:val="corpo do resumo - SIBRAGEC"/>
    <w:basedOn w:val="Normal"/>
    <w:link w:val="corpodoresumo-SIBRAGECChar"/>
    <w:qFormat/>
    <w:rsid w:val="00571247"/>
    <w:pPr>
      <w:spacing w:before="120" w:after="120" w:line="240" w:lineRule="auto"/>
      <w:jc w:val="both"/>
    </w:pPr>
    <w:rPr>
      <w:rFonts w:ascii="Century Gothic" w:eastAsia="Times New Roman" w:hAnsi="Century Gothic" w:cs="Times New Roman"/>
      <w:sz w:val="24"/>
      <w:szCs w:val="20"/>
      <w:lang w:val="pt-BR" w:eastAsia="pt-BR"/>
    </w:rPr>
  </w:style>
  <w:style w:type="character" w:customStyle="1" w:styleId="corpodoresumo-SIBRAGECChar">
    <w:name w:val="corpo do resumo - SIBRAGEC Char"/>
    <w:link w:val="corpodoresumo-SIBRAGEC"/>
    <w:rsid w:val="00571247"/>
    <w:rPr>
      <w:rFonts w:ascii="Century Gothic" w:eastAsia="Times New Roman" w:hAnsi="Century Gothic" w:cs="Times New Roman"/>
      <w:sz w:val="24"/>
      <w:szCs w:val="20"/>
      <w:lang w:eastAsia="pt-BR"/>
    </w:rPr>
  </w:style>
  <w:style w:type="paragraph" w:customStyle="1" w:styleId="corpodoartigo-SIBRAGEC">
    <w:name w:val="corpo do artigo - SIBRAGEC"/>
    <w:basedOn w:val="Normal"/>
    <w:link w:val="corpodoartigo-SIBRAGECChar"/>
    <w:qFormat/>
    <w:rsid w:val="00571247"/>
    <w:pPr>
      <w:spacing w:after="120" w:line="240" w:lineRule="auto"/>
      <w:jc w:val="both"/>
    </w:pPr>
    <w:rPr>
      <w:rFonts w:ascii="Century Gothic" w:eastAsia="Times New Roman" w:hAnsi="Century Gothic" w:cs="Times New Roman"/>
      <w:sz w:val="24"/>
      <w:szCs w:val="20"/>
      <w:lang w:val="pt-BR" w:eastAsia="pt-BR"/>
    </w:rPr>
  </w:style>
  <w:style w:type="character" w:customStyle="1" w:styleId="corpodoartigo-SIBRAGECChar">
    <w:name w:val="corpo do artigo - SIBRAGEC Char"/>
    <w:link w:val="corpodoartigo-SIBRAGEC"/>
    <w:rsid w:val="00571247"/>
    <w:rPr>
      <w:rFonts w:ascii="Century Gothic" w:eastAsia="Times New Roman" w:hAnsi="Century Gothic" w:cs="Times New Roman"/>
      <w:sz w:val="24"/>
      <w:szCs w:val="20"/>
      <w:lang w:eastAsia="pt-BR"/>
    </w:rPr>
  </w:style>
  <w:style w:type="paragraph" w:styleId="Textodenotaderodap">
    <w:name w:val="footnote text"/>
    <w:basedOn w:val="Normal"/>
    <w:link w:val="TextodenotaderodapChar"/>
    <w:semiHidden/>
    <w:unhideWhenUsed/>
    <w:rsid w:val="00571247"/>
    <w:pPr>
      <w:spacing w:after="0" w:line="240" w:lineRule="auto"/>
    </w:pPr>
    <w:rPr>
      <w:rFonts w:ascii="Times New Roman" w:eastAsia="Times New Roman" w:hAnsi="Times New Roman" w:cs="Times New Roman"/>
      <w:sz w:val="20"/>
      <w:szCs w:val="20"/>
      <w:lang w:val="pt-BR" w:eastAsia="pt-BR"/>
    </w:rPr>
  </w:style>
  <w:style w:type="character" w:customStyle="1" w:styleId="TextodenotaderodapChar">
    <w:name w:val="Texto de nota de rodapé Char"/>
    <w:basedOn w:val="Fontepargpadro"/>
    <w:link w:val="Textodenotaderodap"/>
    <w:semiHidden/>
    <w:rsid w:val="00571247"/>
    <w:rPr>
      <w:rFonts w:ascii="Times New Roman" w:eastAsia="Times New Roman" w:hAnsi="Times New Roman" w:cs="Times New Roman"/>
      <w:sz w:val="20"/>
      <w:szCs w:val="20"/>
      <w:lang w:eastAsia="pt-BR"/>
    </w:rPr>
  </w:style>
  <w:style w:type="character" w:styleId="Refdenotaderodap">
    <w:name w:val="footnote reference"/>
    <w:basedOn w:val="Fontepargpadro"/>
    <w:semiHidden/>
    <w:unhideWhenUsed/>
    <w:rsid w:val="00571247"/>
    <w:rPr>
      <w:vertAlign w:val="superscript"/>
    </w:rPr>
  </w:style>
  <w:style w:type="paragraph" w:customStyle="1" w:styleId="legenda-SIBRAGEC">
    <w:name w:val="legenda - SIBRAGEC"/>
    <w:basedOn w:val="Normal"/>
    <w:link w:val="legenda-SIBRAGECChar"/>
    <w:qFormat/>
    <w:rsid w:val="0088277D"/>
    <w:pPr>
      <w:spacing w:before="240" w:after="240" w:line="360" w:lineRule="auto"/>
      <w:contextualSpacing/>
      <w:jc w:val="center"/>
    </w:pPr>
    <w:rPr>
      <w:rFonts w:ascii="Century Gothic" w:eastAsia="Times New Roman" w:hAnsi="Century Gothic" w:cs="Times New Roman"/>
      <w:b/>
      <w:bCs/>
      <w:sz w:val="24"/>
      <w:szCs w:val="20"/>
      <w:lang w:val="pt-BR" w:eastAsia="pt-BR"/>
    </w:rPr>
  </w:style>
  <w:style w:type="character" w:customStyle="1" w:styleId="legenda-SIBRAGECChar">
    <w:name w:val="legenda - SIBRAGEC Char"/>
    <w:link w:val="legenda-SIBRAGEC"/>
    <w:rsid w:val="0088277D"/>
    <w:rPr>
      <w:rFonts w:ascii="Century Gothic" w:eastAsia="Times New Roman" w:hAnsi="Century Gothic" w:cs="Times New Roman"/>
      <w:b/>
      <w:bCs/>
      <w:sz w:val="24"/>
      <w:szCs w:val="20"/>
      <w:lang w:eastAsia="pt-BR"/>
    </w:rPr>
  </w:style>
  <w:style w:type="character" w:customStyle="1" w:styleId="Ttulo5Char">
    <w:name w:val="Título 5 Char"/>
    <w:basedOn w:val="Fontepargpadro"/>
    <w:link w:val="Ttulo5"/>
    <w:rsid w:val="0088277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rsid w:val="0088277D"/>
    <w:rPr>
      <w:rFonts w:ascii="Times New Roman" w:eastAsia="Times New Roman" w:hAnsi="Times New Roman" w:cs="Times New Roman"/>
      <w:b/>
      <w:bCs/>
      <w:lang w:eastAsia="pt-BR"/>
    </w:rPr>
  </w:style>
  <w:style w:type="character" w:customStyle="1" w:styleId="Ttulo7Char">
    <w:name w:val="Título 7 Char"/>
    <w:basedOn w:val="Fontepargpadro"/>
    <w:link w:val="Ttulo7"/>
    <w:rsid w:val="0088277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88277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88277D"/>
    <w:rPr>
      <w:rFonts w:ascii="Arial" w:eastAsia="Times New Roman" w:hAnsi="Arial" w:cs="Arial"/>
      <w:lang w:eastAsia="pt-BR"/>
    </w:rPr>
  </w:style>
  <w:style w:type="paragraph" w:customStyle="1" w:styleId="Ttulo1SIBRAGEC">
    <w:name w:val="Título1SIBRAGEC"/>
    <w:basedOn w:val="Ttulo1"/>
    <w:next w:val="Normal"/>
    <w:rsid w:val="0088277D"/>
    <w:pPr>
      <w:keepNext/>
      <w:numPr>
        <w:numId w:val="7"/>
      </w:numPr>
      <w:spacing w:before="400" w:after="120"/>
    </w:pPr>
    <w:rPr>
      <w:rFonts w:ascii="Arial" w:eastAsia="Times New Roman" w:hAnsi="Arial" w:cs="Times New Roman"/>
      <w:bCs/>
      <w:caps/>
      <w:kern w:val="32"/>
      <w:szCs w:val="32"/>
      <w:lang w:val="pt-BR" w:eastAsia="pt-BR"/>
    </w:rPr>
  </w:style>
  <w:style w:type="paragraph" w:customStyle="1" w:styleId="Ttulo2SIBRAGEC">
    <w:name w:val="Título2SIBRAGEC"/>
    <w:basedOn w:val="Ttulo1SIBRAGEC"/>
    <w:next w:val="Normal"/>
    <w:rsid w:val="0088277D"/>
    <w:pPr>
      <w:numPr>
        <w:ilvl w:val="1"/>
      </w:numPr>
      <w:spacing w:before="240"/>
      <w:outlineLvl w:val="1"/>
    </w:pPr>
    <w:rPr>
      <w:caps w:val="0"/>
    </w:rPr>
  </w:style>
  <w:style w:type="paragraph" w:customStyle="1" w:styleId="ttulo1-SIBRAGEC">
    <w:name w:val="título 1 - SIBRAGEC"/>
    <w:basedOn w:val="Ttulo1SIBRAGEC"/>
    <w:link w:val="ttulo1-SIBRAGECChar"/>
    <w:qFormat/>
    <w:rsid w:val="0088277D"/>
    <w:pPr>
      <w:numPr>
        <w:numId w:val="2"/>
      </w:numPr>
      <w:tabs>
        <w:tab w:val="num" w:pos="432"/>
      </w:tabs>
      <w:spacing w:before="360"/>
      <w:ind w:left="431" w:hanging="431"/>
    </w:pPr>
    <w:rPr>
      <w:rFonts w:ascii="Century Gothic" w:hAnsi="Century Gothic"/>
    </w:rPr>
  </w:style>
  <w:style w:type="character" w:customStyle="1" w:styleId="ttulo1-SIBRAGECChar">
    <w:name w:val="título 1 - SIBRAGEC Char"/>
    <w:link w:val="ttulo1-SIBRAGEC"/>
    <w:rsid w:val="0088277D"/>
    <w:rPr>
      <w:rFonts w:ascii="Century Gothic" w:eastAsia="Times New Roman" w:hAnsi="Century Gothic" w:cs="Times New Roman"/>
      <w:b/>
      <w:bCs/>
      <w:caps/>
      <w:kern w:val="32"/>
      <w:sz w:val="24"/>
      <w:szCs w:val="32"/>
      <w:lang w:eastAsia="pt-BR"/>
    </w:rPr>
  </w:style>
  <w:style w:type="paragraph" w:customStyle="1" w:styleId="ttulo11-SIBRAGEC">
    <w:name w:val="título 1.1 - SIBRAGEC"/>
    <w:basedOn w:val="Ttulo2SIBRAGEC"/>
    <w:link w:val="ttulo11-SIBRAGECChar"/>
    <w:qFormat/>
    <w:rsid w:val="0088277D"/>
    <w:pPr>
      <w:tabs>
        <w:tab w:val="clear" w:pos="792"/>
        <w:tab w:val="num" w:pos="576"/>
      </w:tabs>
      <w:ind w:left="576" w:hanging="576"/>
    </w:pPr>
    <w:rPr>
      <w:rFonts w:ascii="Century Gothic" w:hAnsi="Century Gothic"/>
    </w:rPr>
  </w:style>
  <w:style w:type="character" w:customStyle="1" w:styleId="ttulo11-SIBRAGECChar">
    <w:name w:val="título 1.1 - SIBRAGEC Char"/>
    <w:link w:val="ttulo11-SIBRAGEC"/>
    <w:rsid w:val="0088277D"/>
    <w:rPr>
      <w:rFonts w:ascii="Century Gothic" w:eastAsia="Times New Roman" w:hAnsi="Century Gothic" w:cs="Times New Roman"/>
      <w:b/>
      <w:bCs/>
      <w:kern w:val="32"/>
      <w:sz w:val="24"/>
      <w:szCs w:val="32"/>
      <w:lang w:eastAsia="pt-BR"/>
    </w:rPr>
  </w:style>
  <w:style w:type="paragraph" w:customStyle="1" w:styleId="TextoArtigoSIBRAGEC">
    <w:name w:val="TextoArtigoSIBRAGEC"/>
    <w:basedOn w:val="Normal"/>
    <w:link w:val="TextoArtigoSIBRAGECChar"/>
    <w:rsid w:val="006B3EEA"/>
    <w:pPr>
      <w:spacing w:after="120" w:line="240" w:lineRule="auto"/>
      <w:jc w:val="both"/>
    </w:pPr>
    <w:rPr>
      <w:rFonts w:ascii="Times New Roman" w:eastAsia="Times New Roman" w:hAnsi="Times New Roman" w:cs="Times New Roman"/>
      <w:sz w:val="24"/>
      <w:szCs w:val="20"/>
      <w:lang w:val="pt-BR" w:eastAsia="pt-BR"/>
    </w:rPr>
  </w:style>
  <w:style w:type="character" w:customStyle="1" w:styleId="TextoArtigoSIBRAGECChar">
    <w:name w:val="TextoArtigoSIBRAGEC Char"/>
    <w:basedOn w:val="Fontepargpadro"/>
    <w:link w:val="TextoArtigoSIBRAGEC"/>
    <w:rsid w:val="006B3EEA"/>
    <w:rPr>
      <w:rFonts w:ascii="Times New Roman" w:eastAsia="Times New Roman" w:hAnsi="Times New Roman" w:cs="Times New Roman"/>
      <w:sz w:val="24"/>
      <w:szCs w:val="20"/>
      <w:lang w:eastAsia="pt-BR"/>
    </w:rPr>
  </w:style>
</w:styles>
</file>

<file path=word/webSettings.xml><?xml version="1.0" encoding="utf-8"?>
<w:webSettings xmlns:r="http://schemas.openxmlformats.org/officeDocument/2006/relationships" xmlns:w="http://schemas.openxmlformats.org/wordprocessingml/2006/main">
  <w:divs>
    <w:div w:id="32309447">
      <w:bodyDiv w:val="1"/>
      <w:marLeft w:val="0"/>
      <w:marRight w:val="0"/>
      <w:marTop w:val="0"/>
      <w:marBottom w:val="0"/>
      <w:divBdr>
        <w:top w:val="none" w:sz="0" w:space="0" w:color="auto"/>
        <w:left w:val="none" w:sz="0" w:space="0" w:color="auto"/>
        <w:bottom w:val="none" w:sz="0" w:space="0" w:color="auto"/>
        <w:right w:val="none" w:sz="0" w:space="0" w:color="auto"/>
      </w:divBdr>
    </w:div>
    <w:div w:id="40054672">
      <w:bodyDiv w:val="1"/>
      <w:marLeft w:val="0"/>
      <w:marRight w:val="0"/>
      <w:marTop w:val="0"/>
      <w:marBottom w:val="0"/>
      <w:divBdr>
        <w:top w:val="none" w:sz="0" w:space="0" w:color="auto"/>
        <w:left w:val="none" w:sz="0" w:space="0" w:color="auto"/>
        <w:bottom w:val="none" w:sz="0" w:space="0" w:color="auto"/>
        <w:right w:val="none" w:sz="0" w:space="0" w:color="auto"/>
      </w:divBdr>
    </w:div>
    <w:div w:id="44062741">
      <w:bodyDiv w:val="1"/>
      <w:marLeft w:val="0"/>
      <w:marRight w:val="0"/>
      <w:marTop w:val="0"/>
      <w:marBottom w:val="0"/>
      <w:divBdr>
        <w:top w:val="none" w:sz="0" w:space="0" w:color="auto"/>
        <w:left w:val="none" w:sz="0" w:space="0" w:color="auto"/>
        <w:bottom w:val="none" w:sz="0" w:space="0" w:color="auto"/>
        <w:right w:val="none" w:sz="0" w:space="0" w:color="auto"/>
      </w:divBdr>
    </w:div>
    <w:div w:id="44303784">
      <w:bodyDiv w:val="1"/>
      <w:marLeft w:val="0"/>
      <w:marRight w:val="0"/>
      <w:marTop w:val="0"/>
      <w:marBottom w:val="0"/>
      <w:divBdr>
        <w:top w:val="none" w:sz="0" w:space="0" w:color="auto"/>
        <w:left w:val="none" w:sz="0" w:space="0" w:color="auto"/>
        <w:bottom w:val="none" w:sz="0" w:space="0" w:color="auto"/>
        <w:right w:val="none" w:sz="0" w:space="0" w:color="auto"/>
      </w:divBdr>
    </w:div>
    <w:div w:id="57558408">
      <w:bodyDiv w:val="1"/>
      <w:marLeft w:val="0"/>
      <w:marRight w:val="0"/>
      <w:marTop w:val="0"/>
      <w:marBottom w:val="0"/>
      <w:divBdr>
        <w:top w:val="none" w:sz="0" w:space="0" w:color="auto"/>
        <w:left w:val="none" w:sz="0" w:space="0" w:color="auto"/>
        <w:bottom w:val="none" w:sz="0" w:space="0" w:color="auto"/>
        <w:right w:val="none" w:sz="0" w:space="0" w:color="auto"/>
      </w:divBdr>
    </w:div>
    <w:div w:id="66617219">
      <w:bodyDiv w:val="1"/>
      <w:marLeft w:val="0"/>
      <w:marRight w:val="0"/>
      <w:marTop w:val="0"/>
      <w:marBottom w:val="0"/>
      <w:divBdr>
        <w:top w:val="none" w:sz="0" w:space="0" w:color="auto"/>
        <w:left w:val="none" w:sz="0" w:space="0" w:color="auto"/>
        <w:bottom w:val="none" w:sz="0" w:space="0" w:color="auto"/>
        <w:right w:val="none" w:sz="0" w:space="0" w:color="auto"/>
      </w:divBdr>
    </w:div>
    <w:div w:id="72044340">
      <w:bodyDiv w:val="1"/>
      <w:marLeft w:val="0"/>
      <w:marRight w:val="0"/>
      <w:marTop w:val="0"/>
      <w:marBottom w:val="0"/>
      <w:divBdr>
        <w:top w:val="none" w:sz="0" w:space="0" w:color="auto"/>
        <w:left w:val="none" w:sz="0" w:space="0" w:color="auto"/>
        <w:bottom w:val="none" w:sz="0" w:space="0" w:color="auto"/>
        <w:right w:val="none" w:sz="0" w:space="0" w:color="auto"/>
      </w:divBdr>
    </w:div>
    <w:div w:id="122894288">
      <w:bodyDiv w:val="1"/>
      <w:marLeft w:val="0"/>
      <w:marRight w:val="0"/>
      <w:marTop w:val="0"/>
      <w:marBottom w:val="0"/>
      <w:divBdr>
        <w:top w:val="none" w:sz="0" w:space="0" w:color="auto"/>
        <w:left w:val="none" w:sz="0" w:space="0" w:color="auto"/>
        <w:bottom w:val="none" w:sz="0" w:space="0" w:color="auto"/>
        <w:right w:val="none" w:sz="0" w:space="0" w:color="auto"/>
      </w:divBdr>
    </w:div>
    <w:div w:id="155649748">
      <w:bodyDiv w:val="1"/>
      <w:marLeft w:val="0"/>
      <w:marRight w:val="0"/>
      <w:marTop w:val="0"/>
      <w:marBottom w:val="0"/>
      <w:divBdr>
        <w:top w:val="none" w:sz="0" w:space="0" w:color="auto"/>
        <w:left w:val="none" w:sz="0" w:space="0" w:color="auto"/>
        <w:bottom w:val="none" w:sz="0" w:space="0" w:color="auto"/>
        <w:right w:val="none" w:sz="0" w:space="0" w:color="auto"/>
      </w:divBdr>
    </w:div>
    <w:div w:id="161505132">
      <w:bodyDiv w:val="1"/>
      <w:marLeft w:val="0"/>
      <w:marRight w:val="0"/>
      <w:marTop w:val="0"/>
      <w:marBottom w:val="0"/>
      <w:divBdr>
        <w:top w:val="none" w:sz="0" w:space="0" w:color="auto"/>
        <w:left w:val="none" w:sz="0" w:space="0" w:color="auto"/>
        <w:bottom w:val="none" w:sz="0" w:space="0" w:color="auto"/>
        <w:right w:val="none" w:sz="0" w:space="0" w:color="auto"/>
      </w:divBdr>
    </w:div>
    <w:div w:id="220405146">
      <w:bodyDiv w:val="1"/>
      <w:marLeft w:val="0"/>
      <w:marRight w:val="0"/>
      <w:marTop w:val="0"/>
      <w:marBottom w:val="0"/>
      <w:divBdr>
        <w:top w:val="none" w:sz="0" w:space="0" w:color="auto"/>
        <w:left w:val="none" w:sz="0" w:space="0" w:color="auto"/>
        <w:bottom w:val="none" w:sz="0" w:space="0" w:color="auto"/>
        <w:right w:val="none" w:sz="0" w:space="0" w:color="auto"/>
      </w:divBdr>
    </w:div>
    <w:div w:id="267857308">
      <w:bodyDiv w:val="1"/>
      <w:marLeft w:val="0"/>
      <w:marRight w:val="0"/>
      <w:marTop w:val="0"/>
      <w:marBottom w:val="0"/>
      <w:divBdr>
        <w:top w:val="none" w:sz="0" w:space="0" w:color="auto"/>
        <w:left w:val="none" w:sz="0" w:space="0" w:color="auto"/>
        <w:bottom w:val="none" w:sz="0" w:space="0" w:color="auto"/>
        <w:right w:val="none" w:sz="0" w:space="0" w:color="auto"/>
      </w:divBdr>
    </w:div>
    <w:div w:id="273824562">
      <w:bodyDiv w:val="1"/>
      <w:marLeft w:val="0"/>
      <w:marRight w:val="0"/>
      <w:marTop w:val="0"/>
      <w:marBottom w:val="0"/>
      <w:divBdr>
        <w:top w:val="none" w:sz="0" w:space="0" w:color="auto"/>
        <w:left w:val="none" w:sz="0" w:space="0" w:color="auto"/>
        <w:bottom w:val="none" w:sz="0" w:space="0" w:color="auto"/>
        <w:right w:val="none" w:sz="0" w:space="0" w:color="auto"/>
      </w:divBdr>
    </w:div>
    <w:div w:id="294408223">
      <w:bodyDiv w:val="1"/>
      <w:marLeft w:val="0"/>
      <w:marRight w:val="0"/>
      <w:marTop w:val="0"/>
      <w:marBottom w:val="0"/>
      <w:divBdr>
        <w:top w:val="none" w:sz="0" w:space="0" w:color="auto"/>
        <w:left w:val="none" w:sz="0" w:space="0" w:color="auto"/>
        <w:bottom w:val="none" w:sz="0" w:space="0" w:color="auto"/>
        <w:right w:val="none" w:sz="0" w:space="0" w:color="auto"/>
      </w:divBdr>
    </w:div>
    <w:div w:id="327709058">
      <w:bodyDiv w:val="1"/>
      <w:marLeft w:val="0"/>
      <w:marRight w:val="0"/>
      <w:marTop w:val="0"/>
      <w:marBottom w:val="0"/>
      <w:divBdr>
        <w:top w:val="none" w:sz="0" w:space="0" w:color="auto"/>
        <w:left w:val="none" w:sz="0" w:space="0" w:color="auto"/>
        <w:bottom w:val="none" w:sz="0" w:space="0" w:color="auto"/>
        <w:right w:val="none" w:sz="0" w:space="0" w:color="auto"/>
      </w:divBdr>
    </w:div>
    <w:div w:id="370494776">
      <w:bodyDiv w:val="1"/>
      <w:marLeft w:val="0"/>
      <w:marRight w:val="0"/>
      <w:marTop w:val="0"/>
      <w:marBottom w:val="0"/>
      <w:divBdr>
        <w:top w:val="none" w:sz="0" w:space="0" w:color="auto"/>
        <w:left w:val="none" w:sz="0" w:space="0" w:color="auto"/>
        <w:bottom w:val="none" w:sz="0" w:space="0" w:color="auto"/>
        <w:right w:val="none" w:sz="0" w:space="0" w:color="auto"/>
      </w:divBdr>
    </w:div>
    <w:div w:id="375928833">
      <w:bodyDiv w:val="1"/>
      <w:marLeft w:val="0"/>
      <w:marRight w:val="0"/>
      <w:marTop w:val="0"/>
      <w:marBottom w:val="0"/>
      <w:divBdr>
        <w:top w:val="none" w:sz="0" w:space="0" w:color="auto"/>
        <w:left w:val="none" w:sz="0" w:space="0" w:color="auto"/>
        <w:bottom w:val="none" w:sz="0" w:space="0" w:color="auto"/>
        <w:right w:val="none" w:sz="0" w:space="0" w:color="auto"/>
      </w:divBdr>
    </w:div>
    <w:div w:id="426972026">
      <w:bodyDiv w:val="1"/>
      <w:marLeft w:val="0"/>
      <w:marRight w:val="0"/>
      <w:marTop w:val="0"/>
      <w:marBottom w:val="0"/>
      <w:divBdr>
        <w:top w:val="none" w:sz="0" w:space="0" w:color="auto"/>
        <w:left w:val="none" w:sz="0" w:space="0" w:color="auto"/>
        <w:bottom w:val="none" w:sz="0" w:space="0" w:color="auto"/>
        <w:right w:val="none" w:sz="0" w:space="0" w:color="auto"/>
      </w:divBdr>
    </w:div>
    <w:div w:id="445318500">
      <w:bodyDiv w:val="1"/>
      <w:marLeft w:val="0"/>
      <w:marRight w:val="0"/>
      <w:marTop w:val="0"/>
      <w:marBottom w:val="0"/>
      <w:divBdr>
        <w:top w:val="none" w:sz="0" w:space="0" w:color="auto"/>
        <w:left w:val="none" w:sz="0" w:space="0" w:color="auto"/>
        <w:bottom w:val="none" w:sz="0" w:space="0" w:color="auto"/>
        <w:right w:val="none" w:sz="0" w:space="0" w:color="auto"/>
      </w:divBdr>
    </w:div>
    <w:div w:id="464354667">
      <w:bodyDiv w:val="1"/>
      <w:marLeft w:val="0"/>
      <w:marRight w:val="0"/>
      <w:marTop w:val="0"/>
      <w:marBottom w:val="0"/>
      <w:divBdr>
        <w:top w:val="none" w:sz="0" w:space="0" w:color="auto"/>
        <w:left w:val="none" w:sz="0" w:space="0" w:color="auto"/>
        <w:bottom w:val="none" w:sz="0" w:space="0" w:color="auto"/>
        <w:right w:val="none" w:sz="0" w:space="0" w:color="auto"/>
      </w:divBdr>
    </w:div>
    <w:div w:id="553657447">
      <w:bodyDiv w:val="1"/>
      <w:marLeft w:val="0"/>
      <w:marRight w:val="0"/>
      <w:marTop w:val="0"/>
      <w:marBottom w:val="0"/>
      <w:divBdr>
        <w:top w:val="none" w:sz="0" w:space="0" w:color="auto"/>
        <w:left w:val="none" w:sz="0" w:space="0" w:color="auto"/>
        <w:bottom w:val="none" w:sz="0" w:space="0" w:color="auto"/>
        <w:right w:val="none" w:sz="0" w:space="0" w:color="auto"/>
      </w:divBdr>
    </w:div>
    <w:div w:id="572548248">
      <w:bodyDiv w:val="1"/>
      <w:marLeft w:val="0"/>
      <w:marRight w:val="0"/>
      <w:marTop w:val="0"/>
      <w:marBottom w:val="0"/>
      <w:divBdr>
        <w:top w:val="none" w:sz="0" w:space="0" w:color="auto"/>
        <w:left w:val="none" w:sz="0" w:space="0" w:color="auto"/>
        <w:bottom w:val="none" w:sz="0" w:space="0" w:color="auto"/>
        <w:right w:val="none" w:sz="0" w:space="0" w:color="auto"/>
      </w:divBdr>
    </w:div>
    <w:div w:id="588848561">
      <w:bodyDiv w:val="1"/>
      <w:marLeft w:val="0"/>
      <w:marRight w:val="0"/>
      <w:marTop w:val="0"/>
      <w:marBottom w:val="0"/>
      <w:divBdr>
        <w:top w:val="none" w:sz="0" w:space="0" w:color="auto"/>
        <w:left w:val="none" w:sz="0" w:space="0" w:color="auto"/>
        <w:bottom w:val="none" w:sz="0" w:space="0" w:color="auto"/>
        <w:right w:val="none" w:sz="0" w:space="0" w:color="auto"/>
      </w:divBdr>
    </w:div>
    <w:div w:id="593512672">
      <w:bodyDiv w:val="1"/>
      <w:marLeft w:val="0"/>
      <w:marRight w:val="0"/>
      <w:marTop w:val="0"/>
      <w:marBottom w:val="0"/>
      <w:divBdr>
        <w:top w:val="none" w:sz="0" w:space="0" w:color="auto"/>
        <w:left w:val="none" w:sz="0" w:space="0" w:color="auto"/>
        <w:bottom w:val="none" w:sz="0" w:space="0" w:color="auto"/>
        <w:right w:val="none" w:sz="0" w:space="0" w:color="auto"/>
      </w:divBdr>
    </w:div>
    <w:div w:id="600989010">
      <w:bodyDiv w:val="1"/>
      <w:marLeft w:val="0"/>
      <w:marRight w:val="0"/>
      <w:marTop w:val="0"/>
      <w:marBottom w:val="0"/>
      <w:divBdr>
        <w:top w:val="none" w:sz="0" w:space="0" w:color="auto"/>
        <w:left w:val="none" w:sz="0" w:space="0" w:color="auto"/>
        <w:bottom w:val="none" w:sz="0" w:space="0" w:color="auto"/>
        <w:right w:val="none" w:sz="0" w:space="0" w:color="auto"/>
      </w:divBdr>
    </w:div>
    <w:div w:id="619840932">
      <w:bodyDiv w:val="1"/>
      <w:marLeft w:val="0"/>
      <w:marRight w:val="0"/>
      <w:marTop w:val="0"/>
      <w:marBottom w:val="0"/>
      <w:divBdr>
        <w:top w:val="none" w:sz="0" w:space="0" w:color="auto"/>
        <w:left w:val="none" w:sz="0" w:space="0" w:color="auto"/>
        <w:bottom w:val="none" w:sz="0" w:space="0" w:color="auto"/>
        <w:right w:val="none" w:sz="0" w:space="0" w:color="auto"/>
      </w:divBdr>
    </w:div>
    <w:div w:id="692195087">
      <w:bodyDiv w:val="1"/>
      <w:marLeft w:val="0"/>
      <w:marRight w:val="0"/>
      <w:marTop w:val="0"/>
      <w:marBottom w:val="0"/>
      <w:divBdr>
        <w:top w:val="none" w:sz="0" w:space="0" w:color="auto"/>
        <w:left w:val="none" w:sz="0" w:space="0" w:color="auto"/>
        <w:bottom w:val="none" w:sz="0" w:space="0" w:color="auto"/>
        <w:right w:val="none" w:sz="0" w:space="0" w:color="auto"/>
      </w:divBdr>
    </w:div>
    <w:div w:id="704255797">
      <w:bodyDiv w:val="1"/>
      <w:marLeft w:val="0"/>
      <w:marRight w:val="0"/>
      <w:marTop w:val="0"/>
      <w:marBottom w:val="0"/>
      <w:divBdr>
        <w:top w:val="none" w:sz="0" w:space="0" w:color="auto"/>
        <w:left w:val="none" w:sz="0" w:space="0" w:color="auto"/>
        <w:bottom w:val="none" w:sz="0" w:space="0" w:color="auto"/>
        <w:right w:val="none" w:sz="0" w:space="0" w:color="auto"/>
      </w:divBdr>
    </w:div>
    <w:div w:id="762536501">
      <w:bodyDiv w:val="1"/>
      <w:marLeft w:val="0"/>
      <w:marRight w:val="0"/>
      <w:marTop w:val="0"/>
      <w:marBottom w:val="0"/>
      <w:divBdr>
        <w:top w:val="none" w:sz="0" w:space="0" w:color="auto"/>
        <w:left w:val="none" w:sz="0" w:space="0" w:color="auto"/>
        <w:bottom w:val="none" w:sz="0" w:space="0" w:color="auto"/>
        <w:right w:val="none" w:sz="0" w:space="0" w:color="auto"/>
      </w:divBdr>
    </w:div>
    <w:div w:id="801773657">
      <w:bodyDiv w:val="1"/>
      <w:marLeft w:val="0"/>
      <w:marRight w:val="0"/>
      <w:marTop w:val="0"/>
      <w:marBottom w:val="0"/>
      <w:divBdr>
        <w:top w:val="none" w:sz="0" w:space="0" w:color="auto"/>
        <w:left w:val="none" w:sz="0" w:space="0" w:color="auto"/>
        <w:bottom w:val="none" w:sz="0" w:space="0" w:color="auto"/>
        <w:right w:val="none" w:sz="0" w:space="0" w:color="auto"/>
      </w:divBdr>
    </w:div>
    <w:div w:id="821122028">
      <w:bodyDiv w:val="1"/>
      <w:marLeft w:val="0"/>
      <w:marRight w:val="0"/>
      <w:marTop w:val="0"/>
      <w:marBottom w:val="0"/>
      <w:divBdr>
        <w:top w:val="none" w:sz="0" w:space="0" w:color="auto"/>
        <w:left w:val="none" w:sz="0" w:space="0" w:color="auto"/>
        <w:bottom w:val="none" w:sz="0" w:space="0" w:color="auto"/>
        <w:right w:val="none" w:sz="0" w:space="0" w:color="auto"/>
      </w:divBdr>
    </w:div>
    <w:div w:id="834103779">
      <w:bodyDiv w:val="1"/>
      <w:marLeft w:val="0"/>
      <w:marRight w:val="0"/>
      <w:marTop w:val="0"/>
      <w:marBottom w:val="0"/>
      <w:divBdr>
        <w:top w:val="none" w:sz="0" w:space="0" w:color="auto"/>
        <w:left w:val="none" w:sz="0" w:space="0" w:color="auto"/>
        <w:bottom w:val="none" w:sz="0" w:space="0" w:color="auto"/>
        <w:right w:val="none" w:sz="0" w:space="0" w:color="auto"/>
      </w:divBdr>
    </w:div>
    <w:div w:id="836312983">
      <w:bodyDiv w:val="1"/>
      <w:marLeft w:val="0"/>
      <w:marRight w:val="0"/>
      <w:marTop w:val="0"/>
      <w:marBottom w:val="0"/>
      <w:divBdr>
        <w:top w:val="none" w:sz="0" w:space="0" w:color="auto"/>
        <w:left w:val="none" w:sz="0" w:space="0" w:color="auto"/>
        <w:bottom w:val="none" w:sz="0" w:space="0" w:color="auto"/>
        <w:right w:val="none" w:sz="0" w:space="0" w:color="auto"/>
      </w:divBdr>
    </w:div>
    <w:div w:id="836771170">
      <w:bodyDiv w:val="1"/>
      <w:marLeft w:val="0"/>
      <w:marRight w:val="0"/>
      <w:marTop w:val="0"/>
      <w:marBottom w:val="0"/>
      <w:divBdr>
        <w:top w:val="none" w:sz="0" w:space="0" w:color="auto"/>
        <w:left w:val="none" w:sz="0" w:space="0" w:color="auto"/>
        <w:bottom w:val="none" w:sz="0" w:space="0" w:color="auto"/>
        <w:right w:val="none" w:sz="0" w:space="0" w:color="auto"/>
      </w:divBdr>
    </w:div>
    <w:div w:id="858931380">
      <w:bodyDiv w:val="1"/>
      <w:marLeft w:val="0"/>
      <w:marRight w:val="0"/>
      <w:marTop w:val="0"/>
      <w:marBottom w:val="0"/>
      <w:divBdr>
        <w:top w:val="none" w:sz="0" w:space="0" w:color="auto"/>
        <w:left w:val="none" w:sz="0" w:space="0" w:color="auto"/>
        <w:bottom w:val="none" w:sz="0" w:space="0" w:color="auto"/>
        <w:right w:val="none" w:sz="0" w:space="0" w:color="auto"/>
      </w:divBdr>
    </w:div>
    <w:div w:id="868952941">
      <w:bodyDiv w:val="1"/>
      <w:marLeft w:val="0"/>
      <w:marRight w:val="0"/>
      <w:marTop w:val="0"/>
      <w:marBottom w:val="0"/>
      <w:divBdr>
        <w:top w:val="none" w:sz="0" w:space="0" w:color="auto"/>
        <w:left w:val="none" w:sz="0" w:space="0" w:color="auto"/>
        <w:bottom w:val="none" w:sz="0" w:space="0" w:color="auto"/>
        <w:right w:val="none" w:sz="0" w:space="0" w:color="auto"/>
      </w:divBdr>
    </w:div>
    <w:div w:id="885988193">
      <w:bodyDiv w:val="1"/>
      <w:marLeft w:val="0"/>
      <w:marRight w:val="0"/>
      <w:marTop w:val="0"/>
      <w:marBottom w:val="0"/>
      <w:divBdr>
        <w:top w:val="none" w:sz="0" w:space="0" w:color="auto"/>
        <w:left w:val="none" w:sz="0" w:space="0" w:color="auto"/>
        <w:bottom w:val="none" w:sz="0" w:space="0" w:color="auto"/>
        <w:right w:val="none" w:sz="0" w:space="0" w:color="auto"/>
      </w:divBdr>
    </w:div>
    <w:div w:id="901133958">
      <w:bodyDiv w:val="1"/>
      <w:marLeft w:val="0"/>
      <w:marRight w:val="0"/>
      <w:marTop w:val="0"/>
      <w:marBottom w:val="0"/>
      <w:divBdr>
        <w:top w:val="none" w:sz="0" w:space="0" w:color="auto"/>
        <w:left w:val="none" w:sz="0" w:space="0" w:color="auto"/>
        <w:bottom w:val="none" w:sz="0" w:space="0" w:color="auto"/>
        <w:right w:val="none" w:sz="0" w:space="0" w:color="auto"/>
      </w:divBdr>
    </w:div>
    <w:div w:id="919289574">
      <w:bodyDiv w:val="1"/>
      <w:marLeft w:val="0"/>
      <w:marRight w:val="0"/>
      <w:marTop w:val="0"/>
      <w:marBottom w:val="0"/>
      <w:divBdr>
        <w:top w:val="none" w:sz="0" w:space="0" w:color="auto"/>
        <w:left w:val="none" w:sz="0" w:space="0" w:color="auto"/>
        <w:bottom w:val="none" w:sz="0" w:space="0" w:color="auto"/>
        <w:right w:val="none" w:sz="0" w:space="0" w:color="auto"/>
      </w:divBdr>
    </w:div>
    <w:div w:id="938371972">
      <w:bodyDiv w:val="1"/>
      <w:marLeft w:val="0"/>
      <w:marRight w:val="0"/>
      <w:marTop w:val="0"/>
      <w:marBottom w:val="0"/>
      <w:divBdr>
        <w:top w:val="none" w:sz="0" w:space="0" w:color="auto"/>
        <w:left w:val="none" w:sz="0" w:space="0" w:color="auto"/>
        <w:bottom w:val="none" w:sz="0" w:space="0" w:color="auto"/>
        <w:right w:val="none" w:sz="0" w:space="0" w:color="auto"/>
      </w:divBdr>
    </w:div>
    <w:div w:id="961423544">
      <w:bodyDiv w:val="1"/>
      <w:marLeft w:val="0"/>
      <w:marRight w:val="0"/>
      <w:marTop w:val="0"/>
      <w:marBottom w:val="0"/>
      <w:divBdr>
        <w:top w:val="none" w:sz="0" w:space="0" w:color="auto"/>
        <w:left w:val="none" w:sz="0" w:space="0" w:color="auto"/>
        <w:bottom w:val="none" w:sz="0" w:space="0" w:color="auto"/>
        <w:right w:val="none" w:sz="0" w:space="0" w:color="auto"/>
      </w:divBdr>
    </w:div>
    <w:div w:id="996149837">
      <w:bodyDiv w:val="1"/>
      <w:marLeft w:val="0"/>
      <w:marRight w:val="0"/>
      <w:marTop w:val="0"/>
      <w:marBottom w:val="0"/>
      <w:divBdr>
        <w:top w:val="none" w:sz="0" w:space="0" w:color="auto"/>
        <w:left w:val="none" w:sz="0" w:space="0" w:color="auto"/>
        <w:bottom w:val="none" w:sz="0" w:space="0" w:color="auto"/>
        <w:right w:val="none" w:sz="0" w:space="0" w:color="auto"/>
      </w:divBdr>
    </w:div>
    <w:div w:id="1029259530">
      <w:bodyDiv w:val="1"/>
      <w:marLeft w:val="0"/>
      <w:marRight w:val="0"/>
      <w:marTop w:val="0"/>
      <w:marBottom w:val="0"/>
      <w:divBdr>
        <w:top w:val="none" w:sz="0" w:space="0" w:color="auto"/>
        <w:left w:val="none" w:sz="0" w:space="0" w:color="auto"/>
        <w:bottom w:val="none" w:sz="0" w:space="0" w:color="auto"/>
        <w:right w:val="none" w:sz="0" w:space="0" w:color="auto"/>
      </w:divBdr>
    </w:div>
    <w:div w:id="1036471822">
      <w:bodyDiv w:val="1"/>
      <w:marLeft w:val="0"/>
      <w:marRight w:val="0"/>
      <w:marTop w:val="0"/>
      <w:marBottom w:val="0"/>
      <w:divBdr>
        <w:top w:val="none" w:sz="0" w:space="0" w:color="auto"/>
        <w:left w:val="none" w:sz="0" w:space="0" w:color="auto"/>
        <w:bottom w:val="none" w:sz="0" w:space="0" w:color="auto"/>
        <w:right w:val="none" w:sz="0" w:space="0" w:color="auto"/>
      </w:divBdr>
    </w:div>
    <w:div w:id="1149861486">
      <w:bodyDiv w:val="1"/>
      <w:marLeft w:val="0"/>
      <w:marRight w:val="0"/>
      <w:marTop w:val="0"/>
      <w:marBottom w:val="0"/>
      <w:divBdr>
        <w:top w:val="none" w:sz="0" w:space="0" w:color="auto"/>
        <w:left w:val="none" w:sz="0" w:space="0" w:color="auto"/>
        <w:bottom w:val="none" w:sz="0" w:space="0" w:color="auto"/>
        <w:right w:val="none" w:sz="0" w:space="0" w:color="auto"/>
      </w:divBdr>
    </w:div>
    <w:div w:id="1150559668">
      <w:bodyDiv w:val="1"/>
      <w:marLeft w:val="0"/>
      <w:marRight w:val="0"/>
      <w:marTop w:val="0"/>
      <w:marBottom w:val="0"/>
      <w:divBdr>
        <w:top w:val="none" w:sz="0" w:space="0" w:color="auto"/>
        <w:left w:val="none" w:sz="0" w:space="0" w:color="auto"/>
        <w:bottom w:val="none" w:sz="0" w:space="0" w:color="auto"/>
        <w:right w:val="none" w:sz="0" w:space="0" w:color="auto"/>
      </w:divBdr>
    </w:div>
    <w:div w:id="1242717217">
      <w:bodyDiv w:val="1"/>
      <w:marLeft w:val="0"/>
      <w:marRight w:val="0"/>
      <w:marTop w:val="0"/>
      <w:marBottom w:val="0"/>
      <w:divBdr>
        <w:top w:val="none" w:sz="0" w:space="0" w:color="auto"/>
        <w:left w:val="none" w:sz="0" w:space="0" w:color="auto"/>
        <w:bottom w:val="none" w:sz="0" w:space="0" w:color="auto"/>
        <w:right w:val="none" w:sz="0" w:space="0" w:color="auto"/>
      </w:divBdr>
    </w:div>
    <w:div w:id="1248537912">
      <w:bodyDiv w:val="1"/>
      <w:marLeft w:val="0"/>
      <w:marRight w:val="0"/>
      <w:marTop w:val="0"/>
      <w:marBottom w:val="0"/>
      <w:divBdr>
        <w:top w:val="none" w:sz="0" w:space="0" w:color="auto"/>
        <w:left w:val="none" w:sz="0" w:space="0" w:color="auto"/>
        <w:bottom w:val="none" w:sz="0" w:space="0" w:color="auto"/>
        <w:right w:val="none" w:sz="0" w:space="0" w:color="auto"/>
      </w:divBdr>
    </w:div>
    <w:div w:id="1283152050">
      <w:bodyDiv w:val="1"/>
      <w:marLeft w:val="0"/>
      <w:marRight w:val="0"/>
      <w:marTop w:val="0"/>
      <w:marBottom w:val="0"/>
      <w:divBdr>
        <w:top w:val="none" w:sz="0" w:space="0" w:color="auto"/>
        <w:left w:val="none" w:sz="0" w:space="0" w:color="auto"/>
        <w:bottom w:val="none" w:sz="0" w:space="0" w:color="auto"/>
        <w:right w:val="none" w:sz="0" w:space="0" w:color="auto"/>
      </w:divBdr>
    </w:div>
    <w:div w:id="1312054642">
      <w:bodyDiv w:val="1"/>
      <w:marLeft w:val="0"/>
      <w:marRight w:val="0"/>
      <w:marTop w:val="0"/>
      <w:marBottom w:val="0"/>
      <w:divBdr>
        <w:top w:val="none" w:sz="0" w:space="0" w:color="auto"/>
        <w:left w:val="none" w:sz="0" w:space="0" w:color="auto"/>
        <w:bottom w:val="none" w:sz="0" w:space="0" w:color="auto"/>
        <w:right w:val="none" w:sz="0" w:space="0" w:color="auto"/>
      </w:divBdr>
    </w:div>
    <w:div w:id="1318613623">
      <w:bodyDiv w:val="1"/>
      <w:marLeft w:val="0"/>
      <w:marRight w:val="0"/>
      <w:marTop w:val="0"/>
      <w:marBottom w:val="0"/>
      <w:divBdr>
        <w:top w:val="none" w:sz="0" w:space="0" w:color="auto"/>
        <w:left w:val="none" w:sz="0" w:space="0" w:color="auto"/>
        <w:bottom w:val="none" w:sz="0" w:space="0" w:color="auto"/>
        <w:right w:val="none" w:sz="0" w:space="0" w:color="auto"/>
      </w:divBdr>
    </w:div>
    <w:div w:id="1348210318">
      <w:bodyDiv w:val="1"/>
      <w:marLeft w:val="0"/>
      <w:marRight w:val="0"/>
      <w:marTop w:val="0"/>
      <w:marBottom w:val="0"/>
      <w:divBdr>
        <w:top w:val="none" w:sz="0" w:space="0" w:color="auto"/>
        <w:left w:val="none" w:sz="0" w:space="0" w:color="auto"/>
        <w:bottom w:val="none" w:sz="0" w:space="0" w:color="auto"/>
        <w:right w:val="none" w:sz="0" w:space="0" w:color="auto"/>
      </w:divBdr>
    </w:div>
    <w:div w:id="1357923074">
      <w:bodyDiv w:val="1"/>
      <w:marLeft w:val="0"/>
      <w:marRight w:val="0"/>
      <w:marTop w:val="0"/>
      <w:marBottom w:val="0"/>
      <w:divBdr>
        <w:top w:val="none" w:sz="0" w:space="0" w:color="auto"/>
        <w:left w:val="none" w:sz="0" w:space="0" w:color="auto"/>
        <w:bottom w:val="none" w:sz="0" w:space="0" w:color="auto"/>
        <w:right w:val="none" w:sz="0" w:space="0" w:color="auto"/>
      </w:divBdr>
    </w:div>
    <w:div w:id="1373535769">
      <w:bodyDiv w:val="1"/>
      <w:marLeft w:val="0"/>
      <w:marRight w:val="0"/>
      <w:marTop w:val="0"/>
      <w:marBottom w:val="0"/>
      <w:divBdr>
        <w:top w:val="none" w:sz="0" w:space="0" w:color="auto"/>
        <w:left w:val="none" w:sz="0" w:space="0" w:color="auto"/>
        <w:bottom w:val="none" w:sz="0" w:space="0" w:color="auto"/>
        <w:right w:val="none" w:sz="0" w:space="0" w:color="auto"/>
      </w:divBdr>
    </w:div>
    <w:div w:id="1403796962">
      <w:bodyDiv w:val="1"/>
      <w:marLeft w:val="0"/>
      <w:marRight w:val="0"/>
      <w:marTop w:val="0"/>
      <w:marBottom w:val="0"/>
      <w:divBdr>
        <w:top w:val="none" w:sz="0" w:space="0" w:color="auto"/>
        <w:left w:val="none" w:sz="0" w:space="0" w:color="auto"/>
        <w:bottom w:val="none" w:sz="0" w:space="0" w:color="auto"/>
        <w:right w:val="none" w:sz="0" w:space="0" w:color="auto"/>
      </w:divBdr>
    </w:div>
    <w:div w:id="1425613313">
      <w:bodyDiv w:val="1"/>
      <w:marLeft w:val="0"/>
      <w:marRight w:val="0"/>
      <w:marTop w:val="0"/>
      <w:marBottom w:val="0"/>
      <w:divBdr>
        <w:top w:val="none" w:sz="0" w:space="0" w:color="auto"/>
        <w:left w:val="none" w:sz="0" w:space="0" w:color="auto"/>
        <w:bottom w:val="none" w:sz="0" w:space="0" w:color="auto"/>
        <w:right w:val="none" w:sz="0" w:space="0" w:color="auto"/>
      </w:divBdr>
    </w:div>
    <w:div w:id="1450707286">
      <w:bodyDiv w:val="1"/>
      <w:marLeft w:val="0"/>
      <w:marRight w:val="0"/>
      <w:marTop w:val="0"/>
      <w:marBottom w:val="0"/>
      <w:divBdr>
        <w:top w:val="none" w:sz="0" w:space="0" w:color="auto"/>
        <w:left w:val="none" w:sz="0" w:space="0" w:color="auto"/>
        <w:bottom w:val="none" w:sz="0" w:space="0" w:color="auto"/>
        <w:right w:val="none" w:sz="0" w:space="0" w:color="auto"/>
      </w:divBdr>
    </w:div>
    <w:div w:id="1472166394">
      <w:bodyDiv w:val="1"/>
      <w:marLeft w:val="0"/>
      <w:marRight w:val="0"/>
      <w:marTop w:val="0"/>
      <w:marBottom w:val="0"/>
      <w:divBdr>
        <w:top w:val="none" w:sz="0" w:space="0" w:color="auto"/>
        <w:left w:val="none" w:sz="0" w:space="0" w:color="auto"/>
        <w:bottom w:val="none" w:sz="0" w:space="0" w:color="auto"/>
        <w:right w:val="none" w:sz="0" w:space="0" w:color="auto"/>
      </w:divBdr>
    </w:div>
    <w:div w:id="1505708342">
      <w:bodyDiv w:val="1"/>
      <w:marLeft w:val="0"/>
      <w:marRight w:val="0"/>
      <w:marTop w:val="0"/>
      <w:marBottom w:val="0"/>
      <w:divBdr>
        <w:top w:val="none" w:sz="0" w:space="0" w:color="auto"/>
        <w:left w:val="none" w:sz="0" w:space="0" w:color="auto"/>
        <w:bottom w:val="none" w:sz="0" w:space="0" w:color="auto"/>
        <w:right w:val="none" w:sz="0" w:space="0" w:color="auto"/>
      </w:divBdr>
    </w:div>
    <w:div w:id="1526863647">
      <w:bodyDiv w:val="1"/>
      <w:marLeft w:val="0"/>
      <w:marRight w:val="0"/>
      <w:marTop w:val="0"/>
      <w:marBottom w:val="0"/>
      <w:divBdr>
        <w:top w:val="none" w:sz="0" w:space="0" w:color="auto"/>
        <w:left w:val="none" w:sz="0" w:space="0" w:color="auto"/>
        <w:bottom w:val="none" w:sz="0" w:space="0" w:color="auto"/>
        <w:right w:val="none" w:sz="0" w:space="0" w:color="auto"/>
      </w:divBdr>
    </w:div>
    <w:div w:id="1572235108">
      <w:bodyDiv w:val="1"/>
      <w:marLeft w:val="0"/>
      <w:marRight w:val="0"/>
      <w:marTop w:val="0"/>
      <w:marBottom w:val="0"/>
      <w:divBdr>
        <w:top w:val="none" w:sz="0" w:space="0" w:color="auto"/>
        <w:left w:val="none" w:sz="0" w:space="0" w:color="auto"/>
        <w:bottom w:val="none" w:sz="0" w:space="0" w:color="auto"/>
        <w:right w:val="none" w:sz="0" w:space="0" w:color="auto"/>
      </w:divBdr>
    </w:div>
    <w:div w:id="1610508372">
      <w:bodyDiv w:val="1"/>
      <w:marLeft w:val="0"/>
      <w:marRight w:val="0"/>
      <w:marTop w:val="0"/>
      <w:marBottom w:val="0"/>
      <w:divBdr>
        <w:top w:val="none" w:sz="0" w:space="0" w:color="auto"/>
        <w:left w:val="none" w:sz="0" w:space="0" w:color="auto"/>
        <w:bottom w:val="none" w:sz="0" w:space="0" w:color="auto"/>
        <w:right w:val="none" w:sz="0" w:space="0" w:color="auto"/>
      </w:divBdr>
    </w:div>
    <w:div w:id="1634409118">
      <w:bodyDiv w:val="1"/>
      <w:marLeft w:val="0"/>
      <w:marRight w:val="0"/>
      <w:marTop w:val="0"/>
      <w:marBottom w:val="0"/>
      <w:divBdr>
        <w:top w:val="none" w:sz="0" w:space="0" w:color="auto"/>
        <w:left w:val="none" w:sz="0" w:space="0" w:color="auto"/>
        <w:bottom w:val="none" w:sz="0" w:space="0" w:color="auto"/>
        <w:right w:val="none" w:sz="0" w:space="0" w:color="auto"/>
      </w:divBdr>
    </w:div>
    <w:div w:id="1699811099">
      <w:bodyDiv w:val="1"/>
      <w:marLeft w:val="0"/>
      <w:marRight w:val="0"/>
      <w:marTop w:val="0"/>
      <w:marBottom w:val="0"/>
      <w:divBdr>
        <w:top w:val="none" w:sz="0" w:space="0" w:color="auto"/>
        <w:left w:val="none" w:sz="0" w:space="0" w:color="auto"/>
        <w:bottom w:val="none" w:sz="0" w:space="0" w:color="auto"/>
        <w:right w:val="none" w:sz="0" w:space="0" w:color="auto"/>
      </w:divBdr>
    </w:div>
    <w:div w:id="1735272963">
      <w:bodyDiv w:val="1"/>
      <w:marLeft w:val="0"/>
      <w:marRight w:val="0"/>
      <w:marTop w:val="0"/>
      <w:marBottom w:val="0"/>
      <w:divBdr>
        <w:top w:val="none" w:sz="0" w:space="0" w:color="auto"/>
        <w:left w:val="none" w:sz="0" w:space="0" w:color="auto"/>
        <w:bottom w:val="none" w:sz="0" w:space="0" w:color="auto"/>
        <w:right w:val="none" w:sz="0" w:space="0" w:color="auto"/>
      </w:divBdr>
    </w:div>
    <w:div w:id="1740131481">
      <w:bodyDiv w:val="1"/>
      <w:marLeft w:val="0"/>
      <w:marRight w:val="0"/>
      <w:marTop w:val="0"/>
      <w:marBottom w:val="0"/>
      <w:divBdr>
        <w:top w:val="none" w:sz="0" w:space="0" w:color="auto"/>
        <w:left w:val="none" w:sz="0" w:space="0" w:color="auto"/>
        <w:bottom w:val="none" w:sz="0" w:space="0" w:color="auto"/>
        <w:right w:val="none" w:sz="0" w:space="0" w:color="auto"/>
      </w:divBdr>
    </w:div>
    <w:div w:id="1762144858">
      <w:bodyDiv w:val="1"/>
      <w:marLeft w:val="0"/>
      <w:marRight w:val="0"/>
      <w:marTop w:val="0"/>
      <w:marBottom w:val="0"/>
      <w:divBdr>
        <w:top w:val="none" w:sz="0" w:space="0" w:color="auto"/>
        <w:left w:val="none" w:sz="0" w:space="0" w:color="auto"/>
        <w:bottom w:val="none" w:sz="0" w:space="0" w:color="auto"/>
        <w:right w:val="none" w:sz="0" w:space="0" w:color="auto"/>
      </w:divBdr>
    </w:div>
    <w:div w:id="1790077802">
      <w:bodyDiv w:val="1"/>
      <w:marLeft w:val="0"/>
      <w:marRight w:val="0"/>
      <w:marTop w:val="0"/>
      <w:marBottom w:val="0"/>
      <w:divBdr>
        <w:top w:val="none" w:sz="0" w:space="0" w:color="auto"/>
        <w:left w:val="none" w:sz="0" w:space="0" w:color="auto"/>
        <w:bottom w:val="none" w:sz="0" w:space="0" w:color="auto"/>
        <w:right w:val="none" w:sz="0" w:space="0" w:color="auto"/>
      </w:divBdr>
    </w:div>
    <w:div w:id="1849756874">
      <w:bodyDiv w:val="1"/>
      <w:marLeft w:val="0"/>
      <w:marRight w:val="0"/>
      <w:marTop w:val="0"/>
      <w:marBottom w:val="0"/>
      <w:divBdr>
        <w:top w:val="none" w:sz="0" w:space="0" w:color="auto"/>
        <w:left w:val="none" w:sz="0" w:space="0" w:color="auto"/>
        <w:bottom w:val="none" w:sz="0" w:space="0" w:color="auto"/>
        <w:right w:val="none" w:sz="0" w:space="0" w:color="auto"/>
      </w:divBdr>
    </w:div>
    <w:div w:id="1871871602">
      <w:bodyDiv w:val="1"/>
      <w:marLeft w:val="0"/>
      <w:marRight w:val="0"/>
      <w:marTop w:val="0"/>
      <w:marBottom w:val="0"/>
      <w:divBdr>
        <w:top w:val="none" w:sz="0" w:space="0" w:color="auto"/>
        <w:left w:val="none" w:sz="0" w:space="0" w:color="auto"/>
        <w:bottom w:val="none" w:sz="0" w:space="0" w:color="auto"/>
        <w:right w:val="none" w:sz="0" w:space="0" w:color="auto"/>
      </w:divBdr>
    </w:div>
    <w:div w:id="1959412316">
      <w:bodyDiv w:val="1"/>
      <w:marLeft w:val="0"/>
      <w:marRight w:val="0"/>
      <w:marTop w:val="0"/>
      <w:marBottom w:val="0"/>
      <w:divBdr>
        <w:top w:val="none" w:sz="0" w:space="0" w:color="auto"/>
        <w:left w:val="none" w:sz="0" w:space="0" w:color="auto"/>
        <w:bottom w:val="none" w:sz="0" w:space="0" w:color="auto"/>
        <w:right w:val="none" w:sz="0" w:space="0" w:color="auto"/>
      </w:divBdr>
    </w:div>
    <w:div w:id="1967545437">
      <w:bodyDiv w:val="1"/>
      <w:marLeft w:val="0"/>
      <w:marRight w:val="0"/>
      <w:marTop w:val="0"/>
      <w:marBottom w:val="0"/>
      <w:divBdr>
        <w:top w:val="none" w:sz="0" w:space="0" w:color="auto"/>
        <w:left w:val="none" w:sz="0" w:space="0" w:color="auto"/>
        <w:bottom w:val="none" w:sz="0" w:space="0" w:color="auto"/>
        <w:right w:val="none" w:sz="0" w:space="0" w:color="auto"/>
      </w:divBdr>
    </w:div>
    <w:div w:id="1976524844">
      <w:bodyDiv w:val="1"/>
      <w:marLeft w:val="0"/>
      <w:marRight w:val="0"/>
      <w:marTop w:val="0"/>
      <w:marBottom w:val="0"/>
      <w:divBdr>
        <w:top w:val="none" w:sz="0" w:space="0" w:color="auto"/>
        <w:left w:val="none" w:sz="0" w:space="0" w:color="auto"/>
        <w:bottom w:val="none" w:sz="0" w:space="0" w:color="auto"/>
        <w:right w:val="none" w:sz="0" w:space="0" w:color="auto"/>
      </w:divBdr>
    </w:div>
    <w:div w:id="1979451810">
      <w:bodyDiv w:val="1"/>
      <w:marLeft w:val="0"/>
      <w:marRight w:val="0"/>
      <w:marTop w:val="0"/>
      <w:marBottom w:val="0"/>
      <w:divBdr>
        <w:top w:val="none" w:sz="0" w:space="0" w:color="auto"/>
        <w:left w:val="none" w:sz="0" w:space="0" w:color="auto"/>
        <w:bottom w:val="none" w:sz="0" w:space="0" w:color="auto"/>
        <w:right w:val="none" w:sz="0" w:space="0" w:color="auto"/>
      </w:divBdr>
    </w:div>
    <w:div w:id="2005426456">
      <w:bodyDiv w:val="1"/>
      <w:marLeft w:val="0"/>
      <w:marRight w:val="0"/>
      <w:marTop w:val="0"/>
      <w:marBottom w:val="0"/>
      <w:divBdr>
        <w:top w:val="none" w:sz="0" w:space="0" w:color="auto"/>
        <w:left w:val="none" w:sz="0" w:space="0" w:color="auto"/>
        <w:bottom w:val="none" w:sz="0" w:space="0" w:color="auto"/>
        <w:right w:val="none" w:sz="0" w:space="0" w:color="auto"/>
      </w:divBdr>
    </w:div>
    <w:div w:id="2039501313">
      <w:bodyDiv w:val="1"/>
      <w:marLeft w:val="0"/>
      <w:marRight w:val="0"/>
      <w:marTop w:val="0"/>
      <w:marBottom w:val="0"/>
      <w:divBdr>
        <w:top w:val="none" w:sz="0" w:space="0" w:color="auto"/>
        <w:left w:val="none" w:sz="0" w:space="0" w:color="auto"/>
        <w:bottom w:val="none" w:sz="0" w:space="0" w:color="auto"/>
        <w:right w:val="none" w:sz="0" w:space="0" w:color="auto"/>
      </w:divBdr>
    </w:div>
    <w:div w:id="2066642434">
      <w:bodyDiv w:val="1"/>
      <w:marLeft w:val="0"/>
      <w:marRight w:val="0"/>
      <w:marTop w:val="0"/>
      <w:marBottom w:val="0"/>
      <w:divBdr>
        <w:top w:val="none" w:sz="0" w:space="0" w:color="auto"/>
        <w:left w:val="none" w:sz="0" w:space="0" w:color="auto"/>
        <w:bottom w:val="none" w:sz="0" w:space="0" w:color="auto"/>
        <w:right w:val="none" w:sz="0" w:space="0" w:color="auto"/>
      </w:divBdr>
    </w:div>
    <w:div w:id="2110805803">
      <w:bodyDiv w:val="1"/>
      <w:marLeft w:val="0"/>
      <w:marRight w:val="0"/>
      <w:marTop w:val="0"/>
      <w:marBottom w:val="0"/>
      <w:divBdr>
        <w:top w:val="none" w:sz="0" w:space="0" w:color="auto"/>
        <w:left w:val="none" w:sz="0" w:space="0" w:color="auto"/>
        <w:bottom w:val="none" w:sz="0" w:space="0" w:color="auto"/>
        <w:right w:val="none" w:sz="0" w:space="0" w:color="auto"/>
      </w:divBdr>
    </w:div>
    <w:div w:id="214395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melasepol@hotmail.com" TargetMode="External"/><Relationship Id="rId18" Type="http://schemas.openxmlformats.org/officeDocument/2006/relationships/image" Target="media/image3.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beatrizsekengmoon@hotmail.com" TargetMode="External"/><Relationship Id="rId17" Type="http://schemas.openxmlformats.org/officeDocument/2006/relationships/footer" Target="footer2.xml"/><Relationship Id="rId25" Type="http://schemas.microsoft.com/office/2007/relationships/hdphoto" Target="media/hdphoto2.wdp"/><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baima31@gmail.com"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hdphoto" Target="media/hdphoto1.wdp"/><Relationship Id="rId28" Type="http://schemas.openxmlformats.org/officeDocument/2006/relationships/fontTable" Target="fontTable.xml"/><Relationship Id="rId10" Type="http://schemas.openxmlformats.org/officeDocument/2006/relationships/hyperlink" Target="mailto:pauloedurocha@gmail.co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ilipe.graciano.neves@gmail.com" TargetMode="External"/><Relationship Id="rId22" Type="http://schemas.openxmlformats.org/officeDocument/2006/relationships/image" Target="media/image7.png"/><Relationship Id="rId27"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Num.XSL" StyleName="ABNT NBR 6023:2002 - Numerical" Version="1">
  <b:Source>
    <b:Tag>ENE02</b:Tag>
    <b:SourceType>InternetSite</b:SourceType>
    <b:Guid>{70345978-58A7-4FB4-94D5-163A12ADDA28}</b:Guid>
    <b:Title>enel.cl</b:Title>
    <b:Year>2020</b:Year>
    <b:Month>Junio</b:Month>
    <b:Day>4</b:Day>
    <b:URL>https://www.enel.cl/</b:URL>
    <b:Author>
      <b:Author>
        <b:NameList>
          <b:Person>
            <b:Last>ENEL CHILE S.A.</b:Last>
          </b:Person>
        </b:NameList>
      </b:Author>
    </b:Author>
    <b:RefOrder>19</b:RefOrder>
  </b:Source>
  <b:Source>
    <b:Tag>DES20</b:Tag>
    <b:SourceType>InternetSite</b:SourceType>
    <b:Guid>{A36A0A6F-7151-4076-B375-2B3BE9A0C1DD}</b:Guid>
    <b:Title>DesignBuilder</b:Title>
    <b:Author>
      <b:Author>
        <b:NameList>
          <b:Person>
            <b:Last>DESIGNBUILDER</b:Last>
          </b:Person>
        </b:NameList>
      </b:Author>
    </b:Author>
    <b:YearAccessed>2020</b:YearAccessed>
    <b:MonthAccessed>3</b:MonthAccessed>
    <b:DayAccessed>10</b:DayAccessed>
    <b:URL>https://www.designbuilder-lat.com/</b:URL>
    <b:RefOrder>10</b:RefOrder>
  </b:Source>
  <b:Source>
    <b:Tag>EPLUS</b:Tag>
    <b:SourceType>InternetSite</b:SourceType>
    <b:Guid>{BBDD0D6C-4A5A-41C0-A869-B28AE53DA3B4}</b:Guid>
    <b:Author>
      <b:Author>
        <b:NameList>
          <b:Person>
            <b:Last>ENERGYPLUS</b:Last>
          </b:Person>
        </b:NameList>
      </b:Author>
    </b:Author>
    <b:Title>EnergyPlus</b:Title>
    <b:YearAccessed>2020</b:YearAccessed>
    <b:MonthAccessed>3</b:MonthAccessed>
    <b:DayAccessed>10</b:DayAccessed>
    <b:URL>https://energyplus.net/</b:URL>
    <b:RefOrder>11</b:RefOrder>
  </b:Source>
  <b:Source>
    <b:Tag>MIN19</b:Tag>
    <b:SourceType>Book</b:SourceType>
    <b:Guid>{4438E493-6AFF-40EA-9B96-882EA72F8A9A}</b:Guid>
    <b:Author>
      <b:Author>
        <b:NameList>
          <b:Person>
            <b:Last>MINISTERIO DE VIVIENDA Y URBANISMO</b:Last>
          </b:Person>
        </b:NameList>
      </b:Author>
    </b:Author>
    <b:Title>Texto de la ordenanza general de la ley general de urbanismo y construcciones</b:Title>
    <b:RefOrder>12</b:RefOrder>
  </b:Source>
  <b:Source>
    <b:Tag>MIN11</b:Tag>
    <b:SourceType>Book</b:SourceType>
    <b:Guid>{DB9449B5-0838-48B0-80AF-32001C7EB07A}</b:Guid>
    <b:Author>
      <b:Author>
        <b:NameList>
          <b:Person>
            <b:Last>MINISTERIO DE VIVIENDA Y URBANISMO</b:Last>
          </b:Person>
        </b:NameList>
      </b:Author>
    </b:Author>
    <b:Title>REGLAMENTO DEL PROGRAMA FONDO SOLIDARIO DE ELECCIÓN DE VIVIENDA</b:Title>
    <b:Year>2011</b:Year>
    <b:City>Santiago</b:City>
    <b:RefOrder>13</b:RefOrder>
  </b:Source>
  <b:Source>
    <b:Tag>BEL15</b:Tag>
    <b:SourceType>Book</b:SourceType>
    <b:Guid>{12ED0B2A-4EF9-40A0-B434-CCB79A2D3C71}</b:Guid>
    <b:Title>Evaluación de modelos termofísicos de materiales de cambio de fase en una aplicación de almacenamiento de energía térmica</b:Title>
    <b:Year>2015</b:Year>
    <b:City>Santiago</b:City>
    <b:Author>
      <b:Author>
        <b:NameList>
          <b:Person>
            <b:Last>BELLO ROMÁN</b:Last>
            <b:First>Eduardo</b:First>
          </b:Person>
        </b:NameList>
      </b:Author>
    </b:Author>
    <b:RefOrder>14</b:RefOrder>
  </b:Source>
  <b:Source>
    <b:Tag>VEE</b:Tag>
    <b:SourceType>Book</b:SourceType>
    <b:Guid>{3F6D4C1D-16D7-43F8-BD12-DD2EB1CDA7EF}</b:Guid>
    <b:Title>Phase change material based cold thermal energy storage: materials, techniques and applications</b:Title>
    <b:Author>
      <b:Author>
        <b:NameList>
          <b:Person>
            <b:Last>VEERAKUMAR</b:Last>
            <b:First>C</b:First>
          </b:Person>
          <b:Person>
            <b:Last>SREEKKUMAR</b:Last>
            <b:First>A</b:First>
          </b:Person>
        </b:NameList>
      </b:Author>
    </b:Author>
    <b:RefOrder>15</b:RefOrder>
  </b:Source>
  <b:Source>
    <b:Tag>YAW03</b:Tag>
    <b:SourceType>Book</b:SourceType>
    <b:Guid>{EDBEEC6D-9A69-4D16-ADDA-B690CDEE43C6}</b:Guid>
    <b:Title>Yaws' Handbook of Thermodynamic and Physical Properties of Chemical Compounds</b:Title>
    <b:Year>2003</b:Year>
    <b:Author>
      <b:Author>
        <b:NameList>
          <b:Person>
            <b:Last>YAWS</b:Last>
          </b:Person>
          <b:Person>
            <b:Last>CARL</b:Last>
            <b:First>L</b:First>
          </b:Person>
        </b:NameList>
      </b:Author>
    </b:Author>
    <b:RefOrder>16</b:RefOrder>
  </b:Source>
  <b:Source>
    <b:Tag>DAV67</b:Tag>
    <b:SourceType>Book</b:SourceType>
    <b:Guid>{8ECEF7EE-0BB3-4DA6-8E83-5A3338961BD8}</b:Guid>
    <b:Title>A high-order Crank–Nicholson technique for solving differential equations</b:Title>
    <b:Year>1967</b:Year>
    <b:Publisher>The Computer Journal</b:Publisher>
    <b:Author>
      <b:Author>
        <b:NameList>
          <b:Person>
            <b:Last>DAVISON</b:Last>
            <b:First>E. J.</b:First>
          </b:Person>
        </b:NameList>
      </b:Author>
    </b:Author>
    <b:Volume>10</b:Volume>
    <b:NumberVolumes>2</b:NumberVolumes>
    <b:Pages>195-197</b:Pages>
    <b:RefOrder>17</b:RefOrder>
  </b:Source>
  <b:Source>
    <b:Tag>QIA15</b:Tag>
    <b:SourceType>Book</b:SourceType>
    <b:Guid>{DD0BEA0F-B1C0-4EA3-B4EC-B6A2102508A2}</b:Guid>
    <b:Title>Parametric Investigations of Using a PCM Curtain for Energy Efficient Buildings</b:Title>
    <b:Year>2015</b:Year>
    <b:City>Shanghai</b:City>
    <b:Author>
      <b:Author>
        <b:NameList>
          <b:Person>
            <b:Last>QIAN WANG</b:Last>
            <b:First>C.Y. Zhao</b:First>
          </b:Person>
        </b:NameList>
      </b:Author>
    </b:Author>
    <b:RefOrder>18</b:RefOrder>
  </b:Source>
  <b:Source>
    <b:Tag>NCH08</b:Tag>
    <b:SourceType>Book</b:SourceType>
    <b:Guid>{A6530938-53AA-4714-ADBE-736E0F0D69A8}</b:Guid>
    <b:Author>
      <b:Author>
        <b:NameList>
          <b:Person>
            <b:Last>NCH1079</b:Last>
          </b:Person>
        </b:NameList>
      </b:Author>
    </b:Author>
    <b:Title>Arquitectura y construcción ‐ Zonificación climático habitacional para Chile y recomendaciones para el diseño arquitectónico.</b:Title>
    <b:Year>2008</b:Year>
    <b:RefOrder>3</b:RefOrder>
  </b:Source>
  <b:Source>
    <b:Tag>FAN67</b:Tag>
    <b:SourceType>Book</b:SourceType>
    <b:Guid>{C508DCFC-8F89-4F03-BD1C-400B6C8ABF74}</b:Guid>
    <b:Title>Calculation of thermal comfort—Introduction of a basic comfort equation. </b:Title>
    <b:Year>1967</b:Year>
    <b:Author>
      <b:Author>
        <b:NameList>
          <b:Person>
            <b:Last>FANGER</b:Last>
            <b:First>P. O.</b:First>
          </b:Person>
        </b:NameList>
      </b:Author>
    </b:Author>
    <b:RefOrder>4</b:RefOrder>
  </b:Source>
  <b:Source>
    <b:Tag>ASH92</b:Tag>
    <b:SourceType>Book</b:SourceType>
    <b:Guid>{A6424E06-64FD-4690-945E-75B114295063}</b:Guid>
    <b:Author>
      <b:Author>
        <b:NameList>
          <b:Person>
            <b:Last>ASHRAE</b:Last>
          </b:Person>
        </b:NameList>
      </b:Author>
    </b:Author>
    <b:Title>Standard 55 - Thermal Environmental Conditions for Human Occupancy</b:Title>
    <b:Year>1992</b:Year>
    <b:City>Atlanta</b:City>
    <b:RefOrder>5</b:RefOrder>
  </b:Source>
  <b:Source>
    <b:Tag>KOS04</b:Tag>
    <b:SourceType>Book</b:SourceType>
    <b:Guid>{EA05AC98-4071-41B4-8326-1565ACBB8FEB}</b:Guid>
    <b:Title>Development of a thermally activated ceiling panel with PCM for application in lightweight and retrofitted buildings.</b:Title>
    <b:Year>2004</b:Year>
    <b:Author>
      <b:Author>
        <b:NameList>
          <b:Person>
            <b:Last>KOSCHENZ</b:Last>
            <b:First>MARKUZ</b:First>
          </b:Person>
          <b:Person>
            <b:Last>LEHMANN</b:Last>
            <b:First>BEAT</b:First>
          </b:Person>
        </b:NameList>
      </b:Author>
    </b:Author>
    <b:RefOrder>6</b:RefOrder>
  </b:Source>
  <b:Source>
    <b:Tag>KON06</b:Tag>
    <b:SourceType>Book</b:SourceType>
    <b:Guid>{8A95E8F6-C3E8-4CE5-8EDD-67E09F517C9C}</b:Guid>
    <b:Title>Research on thermal storage using rock wool phase-change material ceiling board. </b:Title>
    <b:Year>2006</b:Year>
    <b:Author>
      <b:Author>
        <b:NameList>
          <b:Person>
            <b:Last>KONDO</b:Last>
            <b:First>Takeshi</b:First>
          </b:Person>
          <b:Person>
            <b:Last>IBAMOTO</b:Last>
            <b:First>Tadahiko</b:First>
          </b:Person>
        </b:NameList>
      </b:Author>
    </b:Author>
    <b:RefOrder>7</b:RefOrder>
  </b:Source>
  <b:Source>
    <b:Tag>ANS01</b:Tag>
    <b:SourceType>Book</b:SourceType>
    <b:Guid>{6B274B87-60F8-4BFC-BDF3-584A0008377A}</b:Guid>
    <b:Title>Radiant floors integrated with PCM for indoor temperature contro</b:Title>
    <b:Year>2001</b:Year>
    <b:Publisher>Energy and Buildings</b:Publisher>
    <b:Author>
      <b:Author>
        <b:NameList>
          <b:Person>
            <b:Last>ANSUNI</b:Last>
            <b:First>R.</b:First>
          </b:Person>
          <b:Person>
            <b:Last>LARGHETTI</b:Last>
            <b:First>R.</b:First>
          </b:Person>
          <b:Person>
            <b:Last>GIRETTI</b:Last>
            <b:First>A.</b:First>
          </b:Person>
          <b:Person>
            <b:Last>LEMMA</b:Last>
            <b:First>M.</b:First>
          </b:Person>
        </b:NameList>
      </b:Author>
    </b:Author>
    <b:RefOrder>8</b:RefOrder>
  </b:Source>
  <b:Source>
    <b:Tag>Cas07</b:Tag>
    <b:SourceType>Book</b:SourceType>
    <b:Guid>{F8937DEB-4FEE-4690-A485-F6461A1A787A}</b:Guid>
    <b:Title>Use of Microencapsulated Phase Change Materials in Building Applications</b:Title>
    <b:Year>2007</b:Year>
    <b:Author>
      <b:Author>
        <b:NameList>
          <b:Person>
            <b:Last>Castellón</b:Last>
            <b:First>C.</b:First>
          </b:Person>
          <b:Person>
            <b:Last>MEDRANO</b:Last>
            <b:First>M.</b:First>
          </b:Person>
          <b:Person>
            <b:Last>ROCA</b:Last>
            <b:First>J</b:First>
          </b:Person>
          <b:Person>
            <b:Last>NOGUÉS</b:Last>
            <b:First>M.</b:First>
          </b:Person>
          <b:Person>
            <b:Last>CASTELL</b:Last>
            <b:First>A.</b:First>
          </b:Person>
          <b:Person>
            <b:Last>CABEZA</b:Last>
            <b:First>L. F.</b:First>
          </b:Person>
        </b:NameList>
      </b:Author>
    </b:Author>
    <b:RefOrder>9</b:RefOrder>
  </b:Source>
  <b:Source>
    <b:Tag>MAR18</b:Tag>
    <b:SourceType>Report</b:SourceType>
    <b:Guid>{78734908-B8F3-49AB-A4D7-C77D6C110343}</b:Guid>
    <b:Author>
      <b:Author>
        <b:Corporate>MINISTERIO DEL MEDIOAMBIENTE</b:Corporate>
      </b:Author>
    </b:Author>
    <b:Title>Tercer informe bienal de actualización de Chile sobre cambio cliomatico</b:Title>
    <b:Year>2018</b:Year>
    <b:City>Santiago</b:City>
    <b:StandardNumber>ISBN: 978-956-7204-55-7</b:StandardNumber>
    <b:Publisher>Ministerio del medio ambiente</b:Publisher>
    <b:RefOrder>1</b:RefOrder>
  </b:Source>
  <b:Source>
    <b:Tag>IEA18</b:Tag>
    <b:SourceType>Book</b:SourceType>
    <b:Guid>{AADF9C02-6F3C-4F0B-8C36-E8F51E3E3E51}</b:Guid>
    <b:Title>The Future of Cooling</b:Title>
    <b:Year>2018</b:Year>
    <b:City>Paris</b:City>
    <b:Author>
      <b:Author>
        <b:NameList>
          <b:Person>
            <b:Last>IEA</b:Last>
          </b:Person>
        </b:NameList>
      </b:Author>
    </b:Author>
    <b:RefOrder>2</b:RefOrder>
  </b:Source>
</b:Sources>
</file>

<file path=customXml/itemProps1.xml><?xml version="1.0" encoding="utf-8"?>
<ds:datastoreItem xmlns:ds="http://schemas.openxmlformats.org/officeDocument/2006/customXml" ds:itemID="{0B84A58C-05A9-4453-822B-8A6FD771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2930</Words>
  <Characters>15826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amanda.guimaraes</dc:creator>
  <cp:lastModifiedBy>amanda.guimaraes</cp:lastModifiedBy>
  <cp:revision>5</cp:revision>
  <cp:lastPrinted>2018-10-04T13:31:00Z</cp:lastPrinted>
  <dcterms:created xsi:type="dcterms:W3CDTF">2022-02-08T13:57:00Z</dcterms:created>
  <dcterms:modified xsi:type="dcterms:W3CDTF">2022-03-08T14:03:00Z</dcterms:modified>
</cp:coreProperties>
</file>